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1"/>
      </w:tblGrid>
      <w:tr w:rsidR="0055766C" w:rsidRPr="001A6870" w:rsidTr="00CF1AD7">
        <w:trPr>
          <w:jc w:val="center"/>
        </w:trPr>
        <w:tc>
          <w:tcPr>
            <w:tcW w:w="4530" w:type="dxa"/>
            <w:shd w:val="clear" w:color="auto" w:fill="92D050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  <w:r w:rsidRPr="001A6870">
              <w:rPr>
                <w:rFonts w:ascii="Arial Narrow" w:hAnsi="Arial Narrow"/>
                <w:b/>
                <w:sz w:val="20"/>
                <w:szCs w:val="20"/>
              </w:rPr>
              <w:t>Mocne strony</w:t>
            </w:r>
          </w:p>
        </w:tc>
        <w:tc>
          <w:tcPr>
            <w:tcW w:w="4531" w:type="dxa"/>
            <w:shd w:val="clear" w:color="auto" w:fill="92D050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  <w:r w:rsidRPr="001A6870">
              <w:rPr>
                <w:rFonts w:ascii="Arial Narrow" w:hAnsi="Arial Narrow"/>
                <w:b/>
                <w:sz w:val="20"/>
                <w:szCs w:val="20"/>
              </w:rPr>
              <w:t>Słabe strony</w:t>
            </w:r>
          </w:p>
        </w:tc>
      </w:tr>
      <w:tr w:rsidR="0055766C" w:rsidRPr="001A6870" w:rsidTr="00CF1AD7">
        <w:trPr>
          <w:jc w:val="center"/>
        </w:trPr>
        <w:tc>
          <w:tcPr>
            <w:tcW w:w="9061" w:type="dxa"/>
            <w:gridSpan w:val="2"/>
            <w:shd w:val="clear" w:color="auto" w:fill="92D050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  <w:r w:rsidRPr="001A6870">
              <w:rPr>
                <w:rFonts w:ascii="Arial Narrow" w:hAnsi="Arial Narrow"/>
                <w:b/>
                <w:sz w:val="20"/>
                <w:szCs w:val="20"/>
              </w:rPr>
              <w:t>Turystyka i rekreacja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Wysokie walory obszaru dla rozwoju turystyki i rekreacji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Zły stan bazy i infrastruktury turystycznej oraz rekreacyjnej nie zachęca społeczności lokalnej do turystyki i rekreacji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Lesistość przekraczająca 60% obszaru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Słabo rozwinięta sieć szlaków turystycznych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Liczne rzeki i jeziora– atrakcyjne krajobrazowo, o walorach rekreacyjnych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Niski poziom zaspokojenia potrzeb społeczności lokalnej w zakresie turystyki i rekreacji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Atrakcyjność środowiska naturalnego (Parki Krajobrazowe, obszary NATURA 2000)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Zbyt mała liczba ogólnodostępnych miejsc rekreacji i wypoczynku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Niski poziom zanieczyszczeń powietrza i gleby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Słaba promocja walorów przyrodniczych i atrakcji turystycznych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Dobre położenie regionu przy ważnych szlakach komunikacyjnych i granicy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Brak kompleksowej i spójnej informacji turystycznej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color w:val="000000" w:themeColor="text1"/>
                <w:sz w:val="20"/>
                <w:szCs w:val="20"/>
              </w:rPr>
              <w:t>Liczne zabytki znajdujące się na całym obszarze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Niska świadomość mieszkańców dotycząca atrakcyjności turystycznej obszaru i usług turystycznych na obszarze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Spójność przestrzenna i historyczna obszaru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66C" w:rsidRPr="001A6870" w:rsidTr="00CF1AD7">
        <w:trPr>
          <w:jc w:val="center"/>
        </w:trPr>
        <w:tc>
          <w:tcPr>
            <w:tcW w:w="9061" w:type="dxa"/>
            <w:gridSpan w:val="2"/>
            <w:shd w:val="clear" w:color="auto" w:fill="92D050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  <w:r w:rsidRPr="001A687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Gospodarka i zatrudnienie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Duży potencjał dla powstawania mikro i małych przedsiębiorstw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Wysokie bezrobocie na obszarze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Wysoki udział osób w wieku produkcyjnym w strukturze bezrobotnych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Mała dostępność miejsc pracy w szczególności na terenach wiejskich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Zróżnicowany charakter przedsiębiorczości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 xml:space="preserve">Niski poziom wsparcia rozwoju przedsiębiorczości  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Malejące bezrobocie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Niska konkurencyjność gospodarcza obszaru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Rosnąca liczba podmiotów gospodarczych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Niski stopień inwestycji w przedsiębiorstwach gwarantujący powstanie miejsc pracy</w:t>
            </w:r>
          </w:p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  <w:vMerge w:val="restart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Spowolniony rozwój gospodarczy obszaru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  <w:vMerge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Wysoki udział kobiet w strukturze bezrobocia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  <w:vMerge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Wysoki udział osób do 25 lat i powyżej 50 lat  w strukturze bezrobocia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  <w:vMerge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Małe wykorzystanie i rozpoznawalność produktów lokalnych</w:t>
            </w:r>
          </w:p>
        </w:tc>
      </w:tr>
      <w:tr w:rsidR="0055766C" w:rsidRPr="001A6870" w:rsidTr="00CF1AD7">
        <w:trPr>
          <w:jc w:val="center"/>
        </w:trPr>
        <w:tc>
          <w:tcPr>
            <w:tcW w:w="9061" w:type="dxa"/>
            <w:gridSpan w:val="2"/>
            <w:shd w:val="clear" w:color="auto" w:fill="92D050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  <w:r w:rsidRPr="001A6870">
              <w:rPr>
                <w:rFonts w:ascii="Arial Narrow" w:hAnsi="Arial Narrow"/>
                <w:b/>
                <w:sz w:val="20"/>
                <w:szCs w:val="20"/>
              </w:rPr>
              <w:t xml:space="preserve">Kapitał społeczny 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Wielokulturowość ludności napływowej – zachowane tradycje i obyczaje, znane święta i festiwale lokalne, kultura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Niski poziom integracji i aktywności społecznej mieszkańców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870">
              <w:rPr>
                <w:rFonts w:ascii="Arial Narrow" w:hAnsi="Arial Narrow"/>
                <w:color w:val="000000" w:themeColor="text1"/>
                <w:sz w:val="20"/>
                <w:szCs w:val="20"/>
              </w:rPr>
              <w:t>Wspólne potrzeby i oczekiwania mieszkańców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Mała liczba mieszkańców zaangażowanych społecznie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Duża aktywność istniejących organizacji społecznych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color w:val="000000"/>
                <w:sz w:val="20"/>
                <w:szCs w:val="20"/>
              </w:rPr>
              <w:t>Brak wsparcia dla inicjatyw lokalnych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Potencjał tkwiący w lokalnej społeczności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Mała liczba działań integracyjnych i aktywizacyjnych wzmacniających kapitał społeczny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Rozwój stowarzyszeń i organizacji nieformalnych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Niewystarczająco rozwinięty system animacji lokalnej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color w:val="000000" w:themeColor="text1"/>
                <w:sz w:val="20"/>
                <w:szCs w:val="20"/>
              </w:rPr>
              <w:t>Wydarzenie specyficzne promujące lokalne produkty i tradycje: Święto Karpia, Budachowski Festyn ruskich Pierogów, Święto Pieczonego Ziemniaka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 xml:space="preserve">Duży odsetek ludności wykluczonej lub zagrożonej wykluczeniem społecznym  wynikającym głównie z bezrobocia w tym istnienia grup </w:t>
            </w:r>
            <w:proofErr w:type="spellStart"/>
            <w:r w:rsidRPr="001A6870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color w:val="000000"/>
                <w:sz w:val="20"/>
                <w:szCs w:val="20"/>
              </w:rPr>
              <w:t>Mała oferta wydarzeń kulturalnych</w:t>
            </w:r>
            <w:r w:rsidRPr="001A6870">
              <w:rPr>
                <w:rFonts w:ascii="Arial Narrow" w:hAnsi="Arial Narrow"/>
                <w:sz w:val="20"/>
                <w:szCs w:val="20"/>
              </w:rPr>
              <w:t xml:space="preserve"> - brak kultywowania dziedzictwa kulturowego, obyczajów itp.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  <w:shd w:val="clear" w:color="auto" w:fill="92D050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  <w:r w:rsidRPr="001A6870">
              <w:rPr>
                <w:rFonts w:ascii="Arial Narrow" w:hAnsi="Arial Narrow"/>
                <w:b/>
                <w:sz w:val="20"/>
                <w:szCs w:val="20"/>
              </w:rPr>
              <w:t>Szanse</w:t>
            </w:r>
          </w:p>
        </w:tc>
        <w:tc>
          <w:tcPr>
            <w:tcW w:w="4531" w:type="dxa"/>
            <w:shd w:val="clear" w:color="auto" w:fill="92D050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  <w:r w:rsidRPr="001A6870">
              <w:rPr>
                <w:rFonts w:ascii="Arial Narrow" w:hAnsi="Arial Narrow"/>
                <w:b/>
                <w:sz w:val="20"/>
                <w:szCs w:val="20"/>
              </w:rPr>
              <w:t>Zagrożenia</w:t>
            </w:r>
          </w:p>
        </w:tc>
      </w:tr>
      <w:tr w:rsidR="0055766C" w:rsidRPr="001A6870" w:rsidTr="00CF1AD7">
        <w:trPr>
          <w:jc w:val="center"/>
        </w:trPr>
        <w:tc>
          <w:tcPr>
            <w:tcW w:w="9061" w:type="dxa"/>
            <w:gridSpan w:val="2"/>
            <w:shd w:val="clear" w:color="auto" w:fill="92D050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  <w:r w:rsidRPr="001A6870">
              <w:rPr>
                <w:rFonts w:ascii="Arial Narrow" w:hAnsi="Arial Narrow"/>
                <w:b/>
                <w:sz w:val="20"/>
                <w:szCs w:val="20"/>
              </w:rPr>
              <w:t>Turystyka i rekreacja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Dalszy rozwój i upowszechnienie agroturystyki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Zmniejszenie wydatkowania środków przez gminy na rozwój infrastruktury turystyczno-rekreacyjnej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Wypromowanie produktów lokalnych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Spowolnienie gospodarcze i ubożenie społeczeństwa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Rosnąca aktywność fizyczna mieszkańców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Niewystarczająca promocja oferty turystycznej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870">
              <w:rPr>
                <w:rFonts w:ascii="Arial Narrow" w:hAnsi="Arial Narrow"/>
                <w:color w:val="000000"/>
                <w:sz w:val="20"/>
                <w:szCs w:val="20"/>
              </w:rPr>
              <w:t>Budowa lub przebudowa ogólnodostępnej i niekomercyjnej infrastruktury turystycznej lub rekreacyjnej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Pogorszenie stanu środowiska naturalnego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Rozwój szlaków turystycznych i miejsc rekreacji</w:t>
            </w:r>
          </w:p>
        </w:tc>
        <w:tc>
          <w:tcPr>
            <w:tcW w:w="4531" w:type="dxa"/>
            <w:vMerge w:val="restart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Konkurencja ze strony innych obszarów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Podniesienie świadomość mieszkańców w zakresie lokalnych walorów turystycznych i rekreacyjnych</w:t>
            </w:r>
          </w:p>
        </w:tc>
        <w:tc>
          <w:tcPr>
            <w:tcW w:w="4531" w:type="dxa"/>
            <w:vMerge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Wzrost popytu na usługi turystyczne</w:t>
            </w:r>
          </w:p>
        </w:tc>
        <w:tc>
          <w:tcPr>
            <w:tcW w:w="4531" w:type="dxa"/>
            <w:vMerge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Rozwój turystyki weekendowej, agroturystyki a także turystyki specjalistycznej: przyrodniczej, ekoturystyki</w:t>
            </w:r>
          </w:p>
        </w:tc>
        <w:tc>
          <w:tcPr>
            <w:tcW w:w="4531" w:type="dxa"/>
            <w:vMerge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Ciekawsza oferta spędzania wolnego czasu</w:t>
            </w:r>
          </w:p>
        </w:tc>
        <w:tc>
          <w:tcPr>
            <w:tcW w:w="4531" w:type="dxa"/>
            <w:vMerge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Wzrost zapotrzebowania na kontakt z przyrodą</w:t>
            </w:r>
          </w:p>
        </w:tc>
        <w:tc>
          <w:tcPr>
            <w:tcW w:w="4531" w:type="dxa"/>
            <w:vMerge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Rozwój turystyki zwiększy potencjał gospodarczy i liczbę nowych miejsc pracy w szczególności na wsi</w:t>
            </w:r>
          </w:p>
        </w:tc>
        <w:tc>
          <w:tcPr>
            <w:tcW w:w="4531" w:type="dxa"/>
            <w:vMerge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66C" w:rsidRPr="001A6870" w:rsidTr="00CF1AD7">
        <w:trPr>
          <w:jc w:val="center"/>
        </w:trPr>
        <w:tc>
          <w:tcPr>
            <w:tcW w:w="9061" w:type="dxa"/>
            <w:gridSpan w:val="2"/>
            <w:shd w:val="clear" w:color="auto" w:fill="92D050"/>
          </w:tcPr>
          <w:p w:rsidR="0055766C" w:rsidRPr="001A6870" w:rsidRDefault="0055766C" w:rsidP="00CF1AD7">
            <w:pPr>
              <w:pStyle w:val="Bezodstpw"/>
              <w:tabs>
                <w:tab w:val="center" w:pos="4423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A687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Gospodarka i zatrudnienie</w:t>
            </w:r>
            <w:r w:rsidRPr="001A687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ab/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Malejące bezrobocie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Dalsza koncentracja rynku gospodarczego w mieście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lastRenderedPageBreak/>
              <w:t>Rozwój małej przedsiębiorczości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Emigracja zarobkowa mieszkańców obszaru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 xml:space="preserve">Wzrost inwestycji w przedsiębiorstwach w tym tworzenie nowych miejsc pracy 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Spowolnienie gospodarcze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 xml:space="preserve">Możliwość pozyskania środków finansowych na rozwój istniejących przedsiębiorstw 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Niewystarczające wsparcie dla przedsiębiorców (biurokracja, brak doradztwa, mała stabilność podatków lokalnych)</w:t>
            </w:r>
          </w:p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Wzrost samozatrudnienia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Trudności z zapewnieniem wkładu własnego do operacji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Możliwość pozyskania środków finansowych na podjęcie działalności gospodarczej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Brak wykwalifikowanej siły roboczej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 xml:space="preserve">Zainteresowanie mieszkańców wsi w rozwijaniu działalności agroturystycznej </w:t>
            </w:r>
          </w:p>
        </w:tc>
        <w:tc>
          <w:tcPr>
            <w:tcW w:w="4531" w:type="dxa"/>
            <w:vMerge w:val="restart"/>
          </w:tcPr>
          <w:p w:rsidR="0055766C" w:rsidRPr="008F4076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8F4076">
              <w:rPr>
                <w:rFonts w:ascii="Arial Narrow" w:hAnsi="Arial Narrow"/>
                <w:sz w:val="20"/>
                <w:szCs w:val="20"/>
              </w:rPr>
              <w:t>Częste zmiany przepisów i wytycznych dotyczących wdrażania PROW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Powstanie miejsc pracy związanych z usługami turystycznymi</w:t>
            </w:r>
          </w:p>
        </w:tc>
        <w:tc>
          <w:tcPr>
            <w:tcW w:w="4531" w:type="dxa"/>
            <w:vMerge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66C" w:rsidRPr="001A6870" w:rsidTr="00CF1AD7">
        <w:trPr>
          <w:jc w:val="center"/>
        </w:trPr>
        <w:tc>
          <w:tcPr>
            <w:tcW w:w="9061" w:type="dxa"/>
            <w:gridSpan w:val="2"/>
            <w:shd w:val="clear" w:color="auto" w:fill="92D050"/>
          </w:tcPr>
          <w:p w:rsidR="0055766C" w:rsidRPr="001A6870" w:rsidRDefault="0055766C" w:rsidP="00CF1AD7">
            <w:pPr>
              <w:pStyle w:val="Bezodstpw"/>
              <w:tabs>
                <w:tab w:val="left" w:pos="322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A6870">
              <w:rPr>
                <w:rFonts w:ascii="Arial Narrow" w:hAnsi="Arial Narrow"/>
                <w:b/>
                <w:sz w:val="20"/>
                <w:szCs w:val="20"/>
              </w:rPr>
              <w:t>Kapitał społeczny</w:t>
            </w:r>
            <w:r w:rsidRPr="001A6870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color w:val="000000" w:themeColor="text1"/>
                <w:sz w:val="20"/>
                <w:szCs w:val="20"/>
              </w:rPr>
              <w:t>Rosnąca aktywność społeczna mieszkańców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Brak środków finansowych na podejmowanie dalszych inicjatyw przez organizacje i grupy społeczne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870">
              <w:rPr>
                <w:rFonts w:ascii="Arial Narrow" w:hAnsi="Arial Narrow"/>
                <w:color w:val="000000" w:themeColor="text1"/>
                <w:sz w:val="20"/>
                <w:szCs w:val="20"/>
              </w:rPr>
              <w:t>Rosnąca integracja społeczna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Malejąca liczba ludności i starzejące się społeczeństwo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870">
              <w:rPr>
                <w:rFonts w:ascii="Arial Narrow" w:hAnsi="Arial Narrow"/>
                <w:color w:val="000000" w:themeColor="text1"/>
                <w:sz w:val="20"/>
                <w:szCs w:val="20"/>
              </w:rPr>
              <w:t>Rosnąca liczba organizacji społecznych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Wzrost apatii społecznej i spadek angażowania się mieszkańców w życie społeczne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Wzrost świadomości społecznej (społeczeństwo obywatelskie, liczny udział w oddolnych inicjatywach społecznych)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Spadek motywacji do aktywnego działania na rzecz rozwoju lokalnego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870">
              <w:rPr>
                <w:rFonts w:ascii="Arial Narrow" w:hAnsi="Arial Narrow"/>
                <w:color w:val="000000" w:themeColor="text1"/>
                <w:sz w:val="20"/>
                <w:szCs w:val="20"/>
              </w:rPr>
              <w:t>Duże zainteresowanie mieszkańców nowymi działaniami aktywizacyjnymi i integracyjnymi</w:t>
            </w:r>
          </w:p>
        </w:tc>
        <w:tc>
          <w:tcPr>
            <w:tcW w:w="4531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Częste zmiany przepisów i wytycznych dotyczących wdrażania PROW</w:t>
            </w: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870">
              <w:rPr>
                <w:rFonts w:ascii="Arial Narrow" w:hAnsi="Arial Narrow"/>
                <w:color w:val="000000" w:themeColor="text1"/>
                <w:sz w:val="20"/>
                <w:szCs w:val="20"/>
              </w:rPr>
              <w:t>Rosnąca liczba wydarzeń aktywizacyjnych i integracyjnych</w:t>
            </w:r>
          </w:p>
        </w:tc>
        <w:tc>
          <w:tcPr>
            <w:tcW w:w="4531" w:type="dxa"/>
            <w:vMerge w:val="restart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Podejmowanie inicjatyw w kierunku kultywowania tradycji, kultury i tożsamości kultury</w:t>
            </w:r>
          </w:p>
        </w:tc>
        <w:tc>
          <w:tcPr>
            <w:tcW w:w="4531" w:type="dxa"/>
            <w:vMerge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66C" w:rsidRPr="001A6870" w:rsidTr="00CF1AD7">
        <w:trPr>
          <w:jc w:val="center"/>
        </w:trPr>
        <w:tc>
          <w:tcPr>
            <w:tcW w:w="4530" w:type="dxa"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A6870">
              <w:rPr>
                <w:rFonts w:ascii="Arial Narrow" w:hAnsi="Arial Narrow"/>
                <w:sz w:val="20"/>
                <w:szCs w:val="20"/>
              </w:rPr>
              <w:t>Umiejętność pozyskiwania i wspólnego wykorzystania środków pomocowych na rozwój obszaru i jego mieszkańców</w:t>
            </w:r>
          </w:p>
        </w:tc>
        <w:tc>
          <w:tcPr>
            <w:tcW w:w="4531" w:type="dxa"/>
            <w:vMerge/>
          </w:tcPr>
          <w:p w:rsidR="0055766C" w:rsidRPr="001A6870" w:rsidRDefault="0055766C" w:rsidP="00CF1AD7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5766C" w:rsidRPr="001A6870" w:rsidRDefault="0055766C" w:rsidP="0055766C">
      <w:pPr>
        <w:pStyle w:val="Tekstpodstawowy"/>
        <w:suppressAutoHyphens/>
        <w:spacing w:after="0" w:line="360" w:lineRule="auto"/>
        <w:jc w:val="both"/>
        <w:rPr>
          <w:rFonts w:ascii="Arial Narrow" w:hAnsi="Arial Narrow"/>
        </w:rPr>
      </w:pPr>
    </w:p>
    <w:p w:rsidR="00750284" w:rsidRDefault="0055766C">
      <w:bookmarkStart w:id="0" w:name="_GoBack"/>
      <w:bookmarkEnd w:id="0"/>
    </w:p>
    <w:sectPr w:rsidR="00750284" w:rsidSect="005576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6C"/>
    <w:rsid w:val="0055766C"/>
    <w:rsid w:val="005F209D"/>
    <w:rsid w:val="009B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57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576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766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57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5576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57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576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766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57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5576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LGDZS</cp:lastModifiedBy>
  <cp:revision>1</cp:revision>
  <dcterms:created xsi:type="dcterms:W3CDTF">2016-01-08T11:41:00Z</dcterms:created>
  <dcterms:modified xsi:type="dcterms:W3CDTF">2016-01-08T11:41:00Z</dcterms:modified>
</cp:coreProperties>
</file>