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32" w:rsidRPr="00A40A54" w:rsidRDefault="00FA645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-69850</wp:posOffset>
                </wp:positionV>
                <wp:extent cx="3510915" cy="425450"/>
                <wp:effectExtent l="12700" t="6350" r="1016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461" w:rsidRDefault="00887816" w:rsidP="00887816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</w:pP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4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1461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d</w:t>
                            </w:r>
                            <w:r w:rsidR="00101461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00,</w:t>
                            </w:r>
                          </w:p>
                          <w:p w:rsidR="00887816" w:rsidRPr="00B06776" w:rsidRDefault="00887816" w:rsidP="00887816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o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B0677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rocedur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y</w:t>
                            </w:r>
                            <w:r w:rsidRPr="00B0677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oceny i wyboru </w:t>
                            </w:r>
                            <w:r w:rsidRPr="00B06776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operacji składanych w ramach ogłoszeń o naborach wniosków o udzielenie wsparcia</w:t>
                            </w:r>
                          </w:p>
                          <w:p w:rsidR="00887816" w:rsidRPr="00A136CE" w:rsidRDefault="00887816" w:rsidP="00887816">
                            <w:pPr>
                              <w:pStyle w:val="Nagwek1"/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</w:pPr>
                          </w:p>
                          <w:p w:rsidR="00887816" w:rsidRDefault="00887816" w:rsidP="00887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1.25pt;margin-top:-5.5pt;width:276.4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">
                <v:textbox>
                  <w:txbxContent>
                    <w:p w:rsidR="00101461" w:rsidRDefault="00887816" w:rsidP="00887816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</w:pP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Załącznik nr </w:t>
                      </w:r>
                      <w:r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4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</w:t>
                      </w:r>
                      <w:r w:rsidR="00101461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T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d</w:t>
                      </w:r>
                      <w:r w:rsidR="00101461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00,</w:t>
                      </w:r>
                    </w:p>
                    <w:p w:rsidR="00887816" w:rsidRPr="00B06776" w:rsidRDefault="00887816" w:rsidP="00887816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o 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P</w:t>
                      </w:r>
                      <w:r w:rsidRPr="00B0677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rocedur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y</w:t>
                      </w:r>
                      <w:r w:rsidRPr="00B0677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oceny i wyboru </w:t>
                      </w:r>
                      <w:r w:rsidRPr="00B06776">
                        <w:rPr>
                          <w:rFonts w:ascii="Arial Narrow" w:hAnsi="Arial Narrow"/>
                          <w:sz w:val="22"/>
                          <w:szCs w:val="22"/>
                        </w:rPr>
                        <w:t>operacji składanych w ramach ogłoszeń o naborach wniosków o udzielenie wsparcia</w:t>
                      </w:r>
                    </w:p>
                    <w:p w:rsidR="00887816" w:rsidRPr="00A136CE" w:rsidRDefault="00887816" w:rsidP="00887816">
                      <w:pPr>
                        <w:pStyle w:val="Nagwek1"/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</w:pPr>
                    </w:p>
                    <w:p w:rsidR="00887816" w:rsidRDefault="00887816" w:rsidP="00887816"/>
                  </w:txbxContent>
                </v:textbox>
              </v:shape>
            </w:pict>
          </mc:Fallback>
        </mc:AlternateContent>
      </w: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CB435D" w:rsidRDefault="00A40A54" w:rsidP="00A40A54">
      <w:pPr>
        <w:jc w:val="center"/>
        <w:rPr>
          <w:rFonts w:ascii="Arial Narrow" w:hAnsi="Arial Narrow"/>
          <w:sz w:val="22"/>
          <w:szCs w:val="22"/>
        </w:rPr>
      </w:pPr>
      <w:r w:rsidRPr="00A40A54">
        <w:rPr>
          <w:rFonts w:ascii="Arial Narrow" w:hAnsi="Arial Narrow"/>
          <w:sz w:val="22"/>
          <w:szCs w:val="22"/>
        </w:rPr>
        <w:t>KRYTERIA WYBORU WRA</w:t>
      </w:r>
      <w:r w:rsidR="007C4C02">
        <w:rPr>
          <w:rFonts w:ascii="Arial Narrow" w:hAnsi="Arial Narrow"/>
          <w:sz w:val="22"/>
          <w:szCs w:val="22"/>
        </w:rPr>
        <w:t>Z</w:t>
      </w:r>
      <w:r w:rsidRPr="00A40A54">
        <w:rPr>
          <w:rFonts w:ascii="Arial Narrow" w:hAnsi="Arial Narrow"/>
          <w:sz w:val="22"/>
          <w:szCs w:val="22"/>
        </w:rPr>
        <w:t xml:space="preserve"> Z OPISEM</w:t>
      </w:r>
      <w:r w:rsidR="00FA6452">
        <w:rPr>
          <w:rFonts w:ascii="Arial Narrow" w:hAnsi="Arial Narrow"/>
          <w:sz w:val="22"/>
          <w:szCs w:val="22"/>
        </w:rPr>
        <w:t xml:space="preserve">  </w:t>
      </w:r>
      <w:r w:rsidR="001023F7">
        <w:rPr>
          <w:rFonts w:ascii="Arial Narrow" w:hAnsi="Arial Narrow"/>
          <w:sz w:val="22"/>
          <w:szCs w:val="22"/>
        </w:rPr>
        <w:t>Rozwój</w:t>
      </w:r>
    </w:p>
    <w:p w:rsidR="009C6031" w:rsidRPr="00A40A54" w:rsidRDefault="009C6031" w:rsidP="00A40A54">
      <w:pPr>
        <w:jc w:val="center"/>
        <w:rPr>
          <w:rFonts w:ascii="Arial Narrow" w:hAnsi="Arial Narrow"/>
          <w:sz w:val="22"/>
          <w:szCs w:val="22"/>
        </w:rPr>
      </w:pPr>
    </w:p>
    <w:p w:rsidR="001E3EF1" w:rsidRPr="00844C79" w:rsidRDefault="009B0885" w:rsidP="009C603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Wszystkie przyjęte kryteria wyboru są mierzalne i wykluczają dowolność interpretacyjną, co pozwala na niedyskryminującą ocenę wniosków</w:t>
      </w:r>
      <w:r w:rsidR="009C6031">
        <w:rPr>
          <w:rFonts w:ascii="Arial Narrow" w:hAnsi="Arial Narrow"/>
          <w:sz w:val="22"/>
          <w:szCs w:val="22"/>
        </w:rPr>
        <w:t xml:space="preserve"> i przejrzystość procedury oceny i wyboru operacji</w:t>
      </w:r>
      <w:r>
        <w:rPr>
          <w:rFonts w:ascii="Arial Narrow" w:hAnsi="Arial Narrow"/>
          <w:sz w:val="22"/>
          <w:szCs w:val="22"/>
        </w:rPr>
        <w:t xml:space="preserve">. Określono </w:t>
      </w:r>
      <w:r w:rsidRPr="00E46DD4">
        <w:rPr>
          <w:rFonts w:ascii="Arial Narrow" w:hAnsi="Arial Narrow"/>
          <w:sz w:val="22"/>
          <w:szCs w:val="22"/>
        </w:rPr>
        <w:t>punkty należne za poszczególny stopień spełnienia kryterium</w:t>
      </w:r>
      <w:r w:rsidR="00E17F15" w:rsidRPr="00E46DD4">
        <w:rPr>
          <w:rFonts w:ascii="Arial Narrow" w:hAnsi="Arial Narrow"/>
          <w:sz w:val="22"/>
          <w:szCs w:val="22"/>
        </w:rPr>
        <w:t xml:space="preserve"> </w:t>
      </w:r>
      <w:r w:rsidRPr="00E46DD4">
        <w:rPr>
          <w:rFonts w:ascii="Arial Narrow" w:hAnsi="Arial Narrow"/>
          <w:sz w:val="22"/>
          <w:szCs w:val="22"/>
        </w:rPr>
        <w:t>i wskazano możliwe do przyznania punkt</w:t>
      </w:r>
      <w:r w:rsidR="00E17F15" w:rsidRPr="00E46DD4">
        <w:rPr>
          <w:rFonts w:ascii="Arial Narrow" w:hAnsi="Arial Narrow"/>
          <w:sz w:val="22"/>
          <w:szCs w:val="22"/>
        </w:rPr>
        <w:t xml:space="preserve"> y (wagi)</w:t>
      </w:r>
      <w:r w:rsidRPr="00E46DD4">
        <w:rPr>
          <w:rFonts w:ascii="Arial Narrow" w:hAnsi="Arial Narrow"/>
          <w:sz w:val="22"/>
          <w:szCs w:val="22"/>
        </w:rPr>
        <w:t xml:space="preserve">, wykluczając możliwość przyznawania punktów ułamkowych. </w:t>
      </w:r>
      <w:r w:rsidR="008B5D20" w:rsidRPr="00E46DD4">
        <w:rPr>
          <w:rFonts w:ascii="Arial Narrow" w:hAnsi="Arial Narrow"/>
          <w:sz w:val="22"/>
          <w:szCs w:val="22"/>
        </w:rPr>
        <w:t xml:space="preserve">Ponadto kryteria zawierają wymogi określone dla Programu Rozwoju Obszarów Wiejskich na lata 2014-2020. </w:t>
      </w:r>
      <w:r w:rsidR="003D20B3" w:rsidRPr="00E46DD4">
        <w:rPr>
          <w:rFonts w:ascii="Arial Narrow" w:hAnsi="Arial Narrow"/>
          <w:sz w:val="22"/>
          <w:szCs w:val="22"/>
        </w:rPr>
        <w:t>Kryteria są adekwatne do diagnozy</w:t>
      </w:r>
      <w:r w:rsidR="00174752" w:rsidRPr="00E46DD4">
        <w:rPr>
          <w:rFonts w:ascii="Arial Narrow" w:hAnsi="Arial Narrow"/>
          <w:sz w:val="22"/>
          <w:szCs w:val="22"/>
        </w:rPr>
        <w:t>, a ich powiązania zostały opisane.</w:t>
      </w:r>
      <w:r w:rsidR="003D20B3" w:rsidRPr="00E46DD4">
        <w:rPr>
          <w:rFonts w:ascii="Arial Narrow" w:hAnsi="Arial Narrow"/>
          <w:sz w:val="22"/>
          <w:szCs w:val="22"/>
        </w:rPr>
        <w:t xml:space="preserve"> </w:t>
      </w:r>
      <w:r w:rsidR="00174752" w:rsidRPr="00E46DD4">
        <w:rPr>
          <w:rFonts w:ascii="Arial Narrow" w:hAnsi="Arial Narrow"/>
          <w:sz w:val="22"/>
          <w:szCs w:val="22"/>
        </w:rPr>
        <w:t>Kryteria</w:t>
      </w:r>
      <w:r w:rsidR="003D20B3" w:rsidRPr="00E46DD4">
        <w:rPr>
          <w:rFonts w:ascii="Arial Narrow" w:hAnsi="Arial Narrow"/>
          <w:sz w:val="22"/>
          <w:szCs w:val="22"/>
        </w:rPr>
        <w:t xml:space="preserve"> premiują operacje przyczyniające się do osiągania </w:t>
      </w:r>
      <w:r w:rsidR="00512262" w:rsidRPr="00E46DD4">
        <w:rPr>
          <w:rFonts w:ascii="Arial Narrow" w:hAnsi="Arial Narrow"/>
          <w:sz w:val="22"/>
          <w:szCs w:val="22"/>
        </w:rPr>
        <w:t xml:space="preserve">celów i wpływają na osiąganie </w:t>
      </w:r>
      <w:r w:rsidR="003D20B3" w:rsidRPr="00E46DD4">
        <w:rPr>
          <w:rFonts w:ascii="Arial Narrow" w:hAnsi="Arial Narrow"/>
          <w:sz w:val="22"/>
          <w:szCs w:val="22"/>
        </w:rPr>
        <w:t>wskaźników produktu i rezultatu, gdyż bezpośrednio</w:t>
      </w:r>
      <w:r w:rsidR="003D20B3">
        <w:rPr>
          <w:rFonts w:ascii="Arial Narrow" w:hAnsi="Arial Narrow"/>
          <w:sz w:val="22"/>
          <w:szCs w:val="22"/>
        </w:rPr>
        <w:t xml:space="preserve"> się do nich odnoszą.</w:t>
      </w:r>
      <w:r w:rsidR="00174752">
        <w:rPr>
          <w:rFonts w:ascii="Arial Narrow" w:hAnsi="Arial Narrow"/>
          <w:sz w:val="22"/>
          <w:szCs w:val="22"/>
        </w:rPr>
        <w:t xml:space="preserve"> Zawarto kryterium premiujące projekty, w których wkład własny przekracza intensywność pomocy określoną w PROW 2014-2020 (LSR)</w:t>
      </w:r>
      <w:r w:rsidR="009C6031">
        <w:rPr>
          <w:rFonts w:ascii="Arial Narrow" w:hAnsi="Arial Narrow"/>
          <w:sz w:val="22"/>
          <w:szCs w:val="22"/>
        </w:rPr>
        <w:t>.</w:t>
      </w:r>
      <w:r w:rsidR="00844C79">
        <w:rPr>
          <w:rFonts w:ascii="Arial Narrow" w:hAnsi="Arial Narrow"/>
          <w:sz w:val="22"/>
          <w:szCs w:val="22"/>
        </w:rPr>
        <w:t xml:space="preserve"> Ocena według kryteriów odbywać się będzie w oparciu o dokumentację wniosku, w tym o W</w:t>
      </w:r>
      <w:r w:rsidR="00844C79" w:rsidRPr="00844C79">
        <w:rPr>
          <w:rFonts w:ascii="Arial Narrow" w:hAnsi="Arial Narrow"/>
          <w:sz w:val="22"/>
          <w:szCs w:val="22"/>
        </w:rPr>
        <w:t>ymagany dokument potwierdzający spełnienie kryteriów wyboru</w:t>
      </w:r>
      <w:r w:rsidR="00844C79">
        <w:rPr>
          <w:rFonts w:ascii="Arial Narrow" w:hAnsi="Arial Narrow"/>
          <w:sz w:val="22"/>
          <w:szCs w:val="22"/>
        </w:rPr>
        <w:t xml:space="preserve"> i załączone do niego dokumenty.</w:t>
      </w:r>
      <w:r w:rsidR="00F14011">
        <w:rPr>
          <w:rFonts w:ascii="Arial Narrow" w:hAnsi="Arial Narrow"/>
          <w:sz w:val="22"/>
          <w:szCs w:val="22"/>
        </w:rPr>
        <w:t xml:space="preserve"> </w:t>
      </w:r>
    </w:p>
    <w:p w:rsidR="009B0885" w:rsidRPr="00A40A54" w:rsidRDefault="009B0885">
      <w:pPr>
        <w:rPr>
          <w:rFonts w:ascii="Arial Narrow" w:hAnsi="Arial Narrow"/>
          <w:sz w:val="22"/>
          <w:szCs w:val="22"/>
        </w:rPr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973"/>
        <w:gridCol w:w="2127"/>
        <w:gridCol w:w="850"/>
        <w:gridCol w:w="1276"/>
        <w:gridCol w:w="8985"/>
      </w:tblGrid>
      <w:tr w:rsidR="00C8171B" w:rsidRPr="00A40A54" w:rsidTr="00D95639">
        <w:trPr>
          <w:cantSplit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08131D" w:rsidRPr="00901917" w:rsidRDefault="0008131D" w:rsidP="00ED7821">
            <w:pPr>
              <w:ind w:left="-26" w:right="-2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08131D" w:rsidRPr="00901917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Treść kryterium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8131D" w:rsidRPr="00901917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Spełnienie kryterium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131D" w:rsidRPr="00901917" w:rsidRDefault="009B0885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Sposób przyznawania wag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08131D" w:rsidRPr="00901917" w:rsidRDefault="009B0885" w:rsidP="00615FB0">
            <w:pPr>
              <w:ind w:right="-28"/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Dodatkowy opis</w:t>
            </w:r>
            <w:r w:rsidR="00466028" w:rsidRPr="00901917">
              <w:rPr>
                <w:rFonts w:ascii="Arial Narrow" w:hAnsi="Arial Narrow"/>
                <w:b/>
                <w:sz w:val="20"/>
                <w:szCs w:val="20"/>
              </w:rPr>
              <w:t xml:space="preserve"> uzasadniający przyjęcie kryterium</w:t>
            </w:r>
            <w:r w:rsidR="00615FB0" w:rsidRPr="00901917">
              <w:rPr>
                <w:rFonts w:ascii="Arial Narrow" w:hAnsi="Arial Narrow"/>
                <w:b/>
                <w:sz w:val="20"/>
                <w:szCs w:val="20"/>
              </w:rPr>
              <w:t xml:space="preserve"> i wartości wag,</w:t>
            </w:r>
            <w:r w:rsidR="0017365B" w:rsidRPr="0090191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15FB0" w:rsidRPr="00901917">
              <w:rPr>
                <w:rFonts w:ascii="Arial Narrow" w:hAnsi="Arial Narrow"/>
                <w:b/>
                <w:sz w:val="20"/>
                <w:szCs w:val="20"/>
              </w:rPr>
              <w:t>wskazujący źródło informacji do weryfikacji kryterium,</w:t>
            </w:r>
            <w:r w:rsidR="00466028" w:rsidRPr="00901917">
              <w:rPr>
                <w:rFonts w:ascii="Arial Narrow" w:hAnsi="Arial Narrow"/>
                <w:b/>
                <w:sz w:val="20"/>
                <w:szCs w:val="20"/>
              </w:rPr>
              <w:t xml:space="preserve"> doprecyzowujący przyznawanie punktów</w:t>
            </w:r>
            <w:r w:rsidR="00615FB0" w:rsidRPr="00901917">
              <w:rPr>
                <w:rFonts w:ascii="Arial Narrow" w:hAnsi="Arial Narrow"/>
                <w:b/>
                <w:sz w:val="20"/>
                <w:szCs w:val="20"/>
              </w:rPr>
              <w:t xml:space="preserve">, wskazujący powiązanie z celami LSR </w:t>
            </w:r>
            <w:r w:rsidR="00615FB0" w:rsidRPr="00901917">
              <w:rPr>
                <w:rFonts w:ascii="Arial Narrow" w:hAnsi="Arial Narrow"/>
                <w:b/>
                <w:sz w:val="20"/>
                <w:szCs w:val="20"/>
              </w:rPr>
              <w:br/>
              <w:t>i PROW 2014-2020</w:t>
            </w:r>
          </w:p>
        </w:tc>
      </w:tr>
      <w:tr w:rsidR="00C8171B" w:rsidRPr="00A40A54" w:rsidTr="00D95639">
        <w:trPr>
          <w:cantSplit/>
        </w:trPr>
        <w:tc>
          <w:tcPr>
            <w:tcW w:w="323" w:type="dxa"/>
            <w:vMerge/>
            <w:shd w:val="clear" w:color="auto" w:fill="auto"/>
            <w:vAlign w:val="center"/>
          </w:tcPr>
          <w:p w:rsidR="0008131D" w:rsidRPr="00901917" w:rsidRDefault="0008131D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08131D" w:rsidRPr="00901917" w:rsidRDefault="0008131D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8131D" w:rsidRPr="00901917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 xml:space="preserve">Zakres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131D" w:rsidRPr="00901917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Należne punkty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131D" w:rsidRPr="00901917" w:rsidRDefault="0008131D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08131D" w:rsidRPr="00901917" w:rsidRDefault="0008131D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2011" w:rsidRPr="00A40A54" w:rsidTr="004F4DAC">
        <w:trPr>
          <w:cantSplit/>
          <w:trHeight w:val="2733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E2011" w:rsidRPr="00901917" w:rsidRDefault="007E2011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E2011" w:rsidRPr="00901917" w:rsidRDefault="007E2011" w:rsidP="007F7A1E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Operacja wpłynie pozytywnie na sytuację grup </w:t>
            </w:r>
            <w:proofErr w:type="spellStart"/>
            <w:r w:rsidRPr="00901917">
              <w:rPr>
                <w:rFonts w:ascii="Arial Narrow" w:hAnsi="Arial Narrow"/>
                <w:sz w:val="20"/>
                <w:szCs w:val="20"/>
              </w:rPr>
              <w:t>def</w:t>
            </w:r>
            <w:r w:rsidR="003E2B2A">
              <w:rPr>
                <w:rFonts w:ascii="Arial Narrow" w:hAnsi="Arial Narrow"/>
                <w:sz w:val="20"/>
                <w:szCs w:val="20"/>
              </w:rPr>
              <w:t>aworyzowanych</w:t>
            </w:r>
            <w:proofErr w:type="spellEnd"/>
            <w:r w:rsidR="003E2B2A">
              <w:rPr>
                <w:rFonts w:ascii="Arial Narrow" w:hAnsi="Arial Narrow"/>
                <w:sz w:val="20"/>
                <w:szCs w:val="20"/>
              </w:rPr>
              <w:t xml:space="preserve"> na rynku pracy: </w:t>
            </w:r>
            <w:r w:rsidRPr="00901917">
              <w:rPr>
                <w:rFonts w:ascii="Arial Narrow" w:hAnsi="Arial Narrow"/>
                <w:sz w:val="20"/>
                <w:szCs w:val="20"/>
              </w:rPr>
              <w:t>kobiet, osób do</w:t>
            </w:r>
            <w:r w:rsidR="003E2B2A">
              <w:rPr>
                <w:rFonts w:ascii="Arial Narrow" w:hAnsi="Arial Narrow"/>
                <w:sz w:val="20"/>
                <w:szCs w:val="20"/>
              </w:rPr>
              <w:t xml:space="preserve"> 25 r.ż., osób powyżej 50 r.ż.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  <w:vAlign w:val="center"/>
          </w:tcPr>
          <w:p w:rsidR="007E2011" w:rsidRPr="00901917" w:rsidRDefault="007E2011" w:rsidP="00C70A10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Operacja zakłada zatrudnienie osób należących do grup </w:t>
            </w:r>
            <w:proofErr w:type="spellStart"/>
            <w:r w:rsidRPr="00901917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Pr="00901917">
              <w:rPr>
                <w:rFonts w:ascii="Arial Narrow" w:hAnsi="Arial Narrow"/>
                <w:sz w:val="20"/>
                <w:szCs w:val="20"/>
              </w:rPr>
              <w:t>: osoby do 25 r.ż. lub osoby powyżej 50 r.ż.</w:t>
            </w:r>
          </w:p>
          <w:p w:rsidR="007E2011" w:rsidRPr="00901917" w:rsidRDefault="007E2011" w:rsidP="00C70A10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- zatrudnienie 1 osoby </w:t>
            </w:r>
          </w:p>
          <w:p w:rsidR="007E2011" w:rsidRPr="00901917" w:rsidRDefault="007E2011" w:rsidP="00C70A10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zatrudnienie 2 osób</w:t>
            </w:r>
          </w:p>
          <w:p w:rsidR="007E2011" w:rsidRPr="00901917" w:rsidRDefault="007E2011" w:rsidP="00C70A10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zatrudnienie przynajmniej 3 osób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2011" w:rsidRPr="00901917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901917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901917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901917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901917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901917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901917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2 pkt</w:t>
            </w:r>
          </w:p>
          <w:p w:rsidR="007E2011" w:rsidRPr="00901917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4 pkt</w:t>
            </w:r>
          </w:p>
          <w:p w:rsidR="007E2011" w:rsidRPr="00901917" w:rsidRDefault="007E2011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6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2011" w:rsidRPr="00901917" w:rsidRDefault="007E2011" w:rsidP="007C27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901917" w:rsidRDefault="007E2011" w:rsidP="007E201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0-</w:t>
            </w:r>
            <w:r w:rsidR="004F31B5" w:rsidRPr="00901917">
              <w:rPr>
                <w:rFonts w:ascii="Arial Narrow" w:hAnsi="Arial Narrow"/>
                <w:sz w:val="20"/>
                <w:szCs w:val="20"/>
              </w:rPr>
              <w:t>9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26489D" w:rsidRPr="00157B46" w:rsidRDefault="007E2011" w:rsidP="0026489D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Punkty za realizację operacji zakładającej zatrudnienie osób należących do grup </w:t>
            </w:r>
            <w:proofErr w:type="spellStart"/>
            <w:r w:rsidRPr="00901917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Pr="00901917">
              <w:rPr>
                <w:rFonts w:ascii="Arial Narrow" w:hAnsi="Arial Narrow"/>
                <w:sz w:val="20"/>
                <w:szCs w:val="20"/>
              </w:rPr>
              <w:t xml:space="preserve"> tj. osoby do 25 r.ż. lub osoby powyżej 50 r.ż. oraz kobiet. Punkty za zatrudnienie osoby należącej do jednej z grup </w:t>
            </w:r>
            <w:proofErr w:type="spellStart"/>
            <w:r w:rsidRPr="00901917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Pr="00901917">
              <w:rPr>
                <w:rFonts w:ascii="Arial Narrow" w:hAnsi="Arial Narrow"/>
                <w:sz w:val="20"/>
                <w:szCs w:val="20"/>
              </w:rPr>
              <w:t xml:space="preserve"> otrzyma wnioskodawca, który wraz z wnioskiem złożył Zobowiązanie wnioskodawcy do zatrudnienia osoby przynależącej do grupy </w:t>
            </w:r>
            <w:proofErr w:type="spellStart"/>
            <w:r w:rsidRPr="00901917">
              <w:rPr>
                <w:rFonts w:ascii="Arial Narrow" w:hAnsi="Arial Narrow"/>
                <w:sz w:val="20"/>
                <w:szCs w:val="20"/>
              </w:rPr>
              <w:t>defaworyzowanej</w:t>
            </w:r>
            <w:proofErr w:type="spellEnd"/>
            <w:r w:rsidRPr="00901917">
              <w:rPr>
                <w:rFonts w:ascii="Arial Narrow" w:hAnsi="Arial Narrow"/>
                <w:sz w:val="20"/>
                <w:szCs w:val="20"/>
              </w:rPr>
              <w:t xml:space="preserve"> w formie oświadczenia.</w:t>
            </w:r>
            <w:r w:rsidR="0026489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E2011" w:rsidRPr="00901917" w:rsidRDefault="007E2011" w:rsidP="007E2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901917" w:rsidRDefault="007E2011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W kryterium sumuje się punkty za przynależność do grupy wiekowej oraz płci zatrudnionej osoby. Kryterium przewiduje punkty za zwiększenie zatrudnienia dla osób </w:t>
            </w:r>
            <w:proofErr w:type="spellStart"/>
            <w:r w:rsidRPr="00901917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Pr="00901917">
              <w:rPr>
                <w:rFonts w:ascii="Arial Narrow" w:hAnsi="Arial Narrow"/>
                <w:sz w:val="20"/>
                <w:szCs w:val="20"/>
              </w:rPr>
              <w:t xml:space="preserve"> do 1 osoby, 2 osób, raz powyżej 3 osób. </w:t>
            </w:r>
            <w:r w:rsidR="009C46C0" w:rsidRPr="00901917">
              <w:rPr>
                <w:rFonts w:ascii="Arial Narrow" w:hAnsi="Arial Narrow"/>
                <w:sz w:val="20"/>
                <w:szCs w:val="20"/>
              </w:rPr>
              <w:t xml:space="preserve">0 punktów otrzymuje operacja, która nie spełni żadnego z warunków. </w:t>
            </w:r>
          </w:p>
          <w:p w:rsidR="00132E26" w:rsidRPr="00901917" w:rsidRDefault="00132E26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C46C0" w:rsidRPr="00D464A9" w:rsidRDefault="009C46C0" w:rsidP="00D464A9">
            <w:pPr>
              <w:autoSpaceDE w:val="0"/>
              <w:autoSpaceDN w:val="0"/>
              <w:adjustRightInd w:val="0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  <w:r w:rsidRPr="00D464A9">
              <w:rPr>
                <w:rFonts w:ascii="Arial Narrow" w:hAnsi="Arial Narrow"/>
                <w:sz w:val="20"/>
                <w:szCs w:val="20"/>
              </w:rPr>
              <w:t xml:space="preserve">Zatrudnienie </w:t>
            </w:r>
            <w:r w:rsidR="00132E26" w:rsidRPr="00D464A9">
              <w:rPr>
                <w:rFonts w:ascii="Arial Narrow" w:hAnsi="Arial Narrow"/>
                <w:sz w:val="20"/>
                <w:szCs w:val="20"/>
              </w:rPr>
              <w:t xml:space="preserve">oznacza: </w:t>
            </w:r>
            <w:r w:rsidR="00D464A9"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utworzenie co najmniej jednego miejsca pracy w przeliczeniu na pełne etaty śred</w:t>
            </w:r>
            <w:r w:rsidR="00D464A9"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 xml:space="preserve">nioroczne i jest to uzasadnione </w:t>
            </w:r>
            <w:r w:rsidR="00D464A9"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zakresem realizacji operacji, a osoba, dla której zostanie utworzone to miejsce</w:t>
            </w:r>
            <w:r w:rsidR="00D464A9"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 xml:space="preserve"> pracy, zostanie zatrudniona na </w:t>
            </w:r>
            <w:r w:rsidR="00D464A9"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podstawie umowy o pracę lub spółdzielczej umowy o pracę</w:t>
            </w:r>
            <w:r w:rsidR="00D464A9"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. U</w:t>
            </w:r>
            <w:r w:rsidR="00D464A9"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trzymanie miejsca pracy</w:t>
            </w:r>
            <w:r w:rsidR="00D464A9"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 xml:space="preserve"> </w:t>
            </w:r>
            <w:r w:rsidR="00D464A9"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przez co najmniej 3 lata od dnia wypłaty płatności końcowej;</w:t>
            </w:r>
          </w:p>
          <w:p w:rsidR="009C46C0" w:rsidRPr="00901917" w:rsidRDefault="009C46C0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E2011" w:rsidRPr="00901917" w:rsidRDefault="007E2011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Kryterium to odnosi się również do elementu diagnozy jakim jest niewystarczająca liczba miejsc pracy. </w:t>
            </w:r>
          </w:p>
          <w:p w:rsidR="007E2011" w:rsidRPr="00901917" w:rsidRDefault="007E2011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Jest to zgodne z polityką i spełnia wymogi PROW 2014-2020. </w:t>
            </w:r>
          </w:p>
          <w:p w:rsidR="007E2011" w:rsidRPr="00901917" w:rsidRDefault="007E2011" w:rsidP="008B668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</w:t>
            </w:r>
            <w:r w:rsidR="009C46C0" w:rsidRPr="00901917">
              <w:rPr>
                <w:rFonts w:ascii="Arial Narrow" w:hAnsi="Arial Narrow"/>
                <w:sz w:val="20"/>
                <w:szCs w:val="20"/>
              </w:rPr>
              <w:t>do osiągnięcia celu ogólnego 2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01917">
              <w:rPr>
                <w:rFonts w:ascii="Arial Narrow" w:hAnsi="Arial Narrow"/>
                <w:i/>
                <w:sz w:val="20"/>
                <w:szCs w:val="20"/>
              </w:rPr>
              <w:t>Rozwinięta przedsiębiorczość i zwiększone zatrudnienie na obszarze LSR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 poprzez zwiększenie liczby miejsc pracy oraz wskaźnika rezultatu liczba utworzonych miejsc pracy dla osób z grup </w:t>
            </w:r>
            <w:proofErr w:type="spellStart"/>
            <w:r w:rsidRPr="00901917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</w:p>
        </w:tc>
      </w:tr>
      <w:tr w:rsidR="007C27CA" w:rsidRPr="00A40A54" w:rsidTr="008E1A77">
        <w:trPr>
          <w:cantSplit/>
          <w:trHeight w:val="1125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C70A10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Operacja zakłada zatrudnienie kobiety</w:t>
            </w:r>
            <w:r w:rsidR="009C46C0" w:rsidRPr="0090191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9C46C0" w:rsidRPr="00901917" w:rsidRDefault="009C46C0" w:rsidP="009C46C0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- zatrudnienie 1 kobiety </w:t>
            </w:r>
          </w:p>
          <w:p w:rsidR="009C46C0" w:rsidRPr="00901917" w:rsidRDefault="009C46C0" w:rsidP="009C46C0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zatrudnienie 2 kobiet</w:t>
            </w:r>
          </w:p>
          <w:p w:rsidR="009C46C0" w:rsidRPr="00901917" w:rsidRDefault="009C46C0" w:rsidP="009C46C0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zatrudnienie przynajmniej 3 kobiet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31B5" w:rsidRPr="00901917" w:rsidRDefault="004F31B5" w:rsidP="004F31B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F31B5" w:rsidRPr="00901917" w:rsidRDefault="004F31B5" w:rsidP="004F31B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 pkt</w:t>
            </w:r>
          </w:p>
          <w:p w:rsidR="004F31B5" w:rsidRPr="00901917" w:rsidRDefault="004F31B5" w:rsidP="004F31B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2 pkt</w:t>
            </w:r>
          </w:p>
          <w:p w:rsidR="007C27CA" w:rsidRPr="00901917" w:rsidRDefault="004F31B5" w:rsidP="004F31B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3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901917">
        <w:trPr>
          <w:cantSplit/>
          <w:trHeight w:val="508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901917" w:rsidRDefault="00D95639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901917" w:rsidRDefault="001612B1" w:rsidP="001612B1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Rozwijanie</w:t>
            </w:r>
            <w:r w:rsidR="005E69AF" w:rsidRPr="0090191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działalności </w:t>
            </w:r>
            <w:r w:rsidR="005E69AF" w:rsidRPr="00901917">
              <w:rPr>
                <w:rFonts w:ascii="Arial Narrow" w:hAnsi="Arial Narrow"/>
                <w:sz w:val="20"/>
                <w:szCs w:val="20"/>
              </w:rPr>
              <w:t xml:space="preserve">gospodarczej w zakresie </w:t>
            </w:r>
            <w:r w:rsidR="005E69AF" w:rsidRPr="00901917">
              <w:rPr>
                <w:rFonts w:ascii="Arial Narrow" w:hAnsi="Arial Narrow"/>
                <w:sz w:val="20"/>
                <w:szCs w:val="20"/>
              </w:rPr>
              <w:lastRenderedPageBreak/>
              <w:t>turystyki, tworzenia miejsc noclegowych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3C5227" w:rsidP="003C5227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lastRenderedPageBreak/>
              <w:t xml:space="preserve">Przedmiotem rozwijanej </w:t>
            </w:r>
            <w:r w:rsidR="005E69AF" w:rsidRPr="00901917">
              <w:rPr>
                <w:rFonts w:ascii="Arial Narrow" w:hAnsi="Arial Narrow"/>
                <w:sz w:val="20"/>
                <w:szCs w:val="20"/>
              </w:rPr>
              <w:t xml:space="preserve"> działalności gospodarczej są usługi turystyczne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5E69AF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2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901917" w:rsidRDefault="00D810A7" w:rsidP="005E69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0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>-</w:t>
            </w:r>
            <w:r w:rsidR="005E69AF" w:rsidRPr="00901917">
              <w:rPr>
                <w:rFonts w:ascii="Arial Narrow" w:hAnsi="Arial Narrow"/>
                <w:sz w:val="20"/>
                <w:szCs w:val="20"/>
              </w:rPr>
              <w:t>4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26489D" w:rsidRPr="00157B46" w:rsidRDefault="007C27CA" w:rsidP="0026489D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W tym kryterium odpowiada się na element diagnozy</w:t>
            </w:r>
            <w:r w:rsidR="005E69AF" w:rsidRPr="00901917">
              <w:rPr>
                <w:rFonts w:ascii="Arial Narrow" w:hAnsi="Arial Narrow"/>
                <w:sz w:val="20"/>
                <w:szCs w:val="20"/>
              </w:rPr>
              <w:t xml:space="preserve"> wskazujący na niski poziom zaspokojenia potrzeb społeczności lokalnej w zakresie turystyki i rekreacji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 wskazujący na konieczność </w:t>
            </w:r>
            <w:r w:rsidR="005E69AF" w:rsidRPr="00901917">
              <w:rPr>
                <w:rFonts w:ascii="Arial Narrow" w:hAnsi="Arial Narrow"/>
                <w:sz w:val="20"/>
                <w:szCs w:val="20"/>
              </w:rPr>
              <w:t xml:space="preserve">wpływania na rozwój usług turystycznych i tworzenia miejsc noclegowych. </w:t>
            </w:r>
            <w:r w:rsidR="0026489D" w:rsidRPr="00157B46">
              <w:rPr>
                <w:rFonts w:ascii="Arial Narrow" w:hAnsi="Arial Narrow"/>
                <w:sz w:val="20"/>
                <w:szCs w:val="20"/>
              </w:rPr>
              <w:t xml:space="preserve">Weryfikacja nastąpi głównie na podstawie opisu spełnienia tego kryterium w Wymaganym </w:t>
            </w:r>
            <w:r w:rsidR="0026489D" w:rsidRPr="00157B46">
              <w:rPr>
                <w:rFonts w:ascii="Arial Narrow" w:hAnsi="Arial Narrow"/>
                <w:sz w:val="20"/>
                <w:szCs w:val="20"/>
              </w:rPr>
              <w:lastRenderedPageBreak/>
              <w:t>dokumencie potwierdzającym spełnienie kryteriów wyboru składanym przez Wnioskodaw</w:t>
            </w:r>
            <w:r w:rsidR="0026489D">
              <w:rPr>
                <w:rFonts w:ascii="Arial Narrow" w:hAnsi="Arial Narrow"/>
                <w:sz w:val="20"/>
                <w:szCs w:val="20"/>
              </w:rPr>
              <w:t>cę, które ma formę oświadczenia oraz na podstawie biznesplanu.</w:t>
            </w:r>
          </w:p>
          <w:p w:rsidR="005E69AF" w:rsidRPr="00901917" w:rsidRDefault="005E69AF" w:rsidP="00F14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B4156" w:rsidRPr="00901917" w:rsidRDefault="00EB4156" w:rsidP="00F14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Beneficjent może otrzymać 4 punkty jeżeli spełnia dwa kryteria, 2 – pkt jeżeli spełnia jedno kryterium, lub 0 pkt jeżeli nie spełnia żadnego kryterium.  </w:t>
            </w:r>
          </w:p>
          <w:p w:rsidR="00901917" w:rsidRDefault="00901917" w:rsidP="00F14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27CA" w:rsidRPr="00901917" w:rsidRDefault="003C5227" w:rsidP="00F14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Kryterium premiuje operacje, które przyczynią się do osiągnięcia celu ogólnego 1 Rozwinięta turystyka i rekreacja na obszarze objętym LSR.</w:t>
            </w:r>
          </w:p>
        </w:tc>
      </w:tr>
      <w:tr w:rsidR="007C27CA" w:rsidRPr="00A40A54" w:rsidTr="00901917">
        <w:trPr>
          <w:cantSplit/>
          <w:trHeight w:val="1085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5E69AF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Operacja przewiduje utworzenie miejsc noclegowych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901917">
        <w:trPr>
          <w:cantSplit/>
          <w:trHeight w:val="27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901917" w:rsidRDefault="00026E65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Operacja będzie wpływała pozytywnie na realizację celu ogólnego innego niż ten do którego przypisano przedsięwzięcie, gdyż sprzyja</w:t>
            </w:r>
            <w:r w:rsidR="00924263" w:rsidRPr="00901917">
              <w:rPr>
                <w:rFonts w:ascii="Arial Narrow" w:hAnsi="Arial Narrow"/>
                <w:sz w:val="20"/>
                <w:szCs w:val="20"/>
              </w:rPr>
              <w:t xml:space="preserve"> realizacji celu: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8E1A77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Wzmocniony kapitał społeczny </w:t>
            </w:r>
            <w:r w:rsidRPr="00901917">
              <w:rPr>
                <w:rFonts w:ascii="Arial Narrow" w:hAnsi="Arial Narrow"/>
                <w:color w:val="000000" w:themeColor="text1"/>
                <w:sz w:val="20"/>
                <w:szCs w:val="20"/>
              </w:rPr>
              <w:t>na obszarze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0-2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7C27CA" w:rsidRPr="00901917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Celem tego kryterium jest premiowanie operacji, które pozytywnie wpływają lub oddziałują na inne cele niż ten, któremu bezpośrednio jest przypisane realizowane przez operację przedsięwzięcie. Punkty w tym kryterium są sumowane, a operacja może ich uzyskać maksymalnie 2, gdyż w LSR wyróżniono 3 cele ogólne, a jeden zawsze jest bezpośrednio realizowany przez operację. </w:t>
            </w:r>
          </w:p>
          <w:p w:rsidR="007C27CA" w:rsidRPr="00901917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C27CA" w:rsidRPr="00901917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W opisie tym zawarte musi zostać uzasadnienie wpływu na realizację tych celów nawiązujące do określonego w LSR wskaźnika oddziaływania związanego z danym celem. Wpływa to bezpośrednio </w:t>
            </w:r>
            <w:r w:rsidR="003B34C6" w:rsidRPr="00901917">
              <w:rPr>
                <w:rFonts w:ascii="Arial Narrow" w:hAnsi="Arial Narrow"/>
                <w:sz w:val="20"/>
                <w:szCs w:val="20"/>
              </w:rPr>
              <w:t xml:space="preserve">na </w:t>
            </w:r>
            <w:r w:rsidRPr="00901917">
              <w:rPr>
                <w:rFonts w:ascii="Arial Narrow" w:hAnsi="Arial Narrow"/>
                <w:sz w:val="20"/>
                <w:szCs w:val="20"/>
              </w:rPr>
              <w:t>osiąganie celów LSR</w:t>
            </w:r>
            <w:r w:rsidR="003B34C6" w:rsidRPr="00901917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7C27CA" w:rsidRPr="00901917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Odpowiada to zintegrowaniu, które jest jednym z wymogów LSR, zatem odpowiada  PROW 2014-2020.</w:t>
            </w:r>
          </w:p>
        </w:tc>
      </w:tr>
      <w:tr w:rsidR="007C27CA" w:rsidRPr="00A40A54" w:rsidTr="00901917">
        <w:trPr>
          <w:cantSplit/>
          <w:trHeight w:val="1519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8E1A77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Rozwinięta turystyka i rekreacja na obszarze objętym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901917" w:rsidRDefault="00026E65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Operacja spełnia warunki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341905" w:rsidP="00341905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generuje nowe miejsca pracy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341905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0-5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D14E89" w:rsidRPr="00901917" w:rsidRDefault="007C27CA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Kryterium to odnosi się do diagnozy, gdyż na etapie konsultacji i opracowania danych zastany</w:t>
            </w:r>
            <w:r w:rsidR="00D14E89" w:rsidRPr="00901917">
              <w:rPr>
                <w:rFonts w:ascii="Arial Narrow" w:hAnsi="Arial Narrow"/>
                <w:sz w:val="20"/>
                <w:szCs w:val="20"/>
              </w:rPr>
              <w:t>ch wskazano na:</w:t>
            </w:r>
          </w:p>
          <w:p w:rsidR="00D14E89" w:rsidRPr="00901917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niewystarczającą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 liczbę miejsc pracy, </w:t>
            </w:r>
          </w:p>
          <w:p w:rsidR="00D14E89" w:rsidRPr="00901917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niska</w:t>
            </w:r>
            <w:r w:rsidR="00026E65" w:rsidRPr="00901917">
              <w:rPr>
                <w:rFonts w:ascii="Arial Narrow" w:hAnsi="Arial Narrow"/>
                <w:sz w:val="20"/>
                <w:szCs w:val="20"/>
              </w:rPr>
              <w:t xml:space="preserve"> konkurencyjność gospodarcza obszaru która może zostać zniwelowana przez zastosowanie innowacji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D14E89" w:rsidRPr="00901917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dużym zagrożeniem dla obszaru jest pogorszenie stanu środowiska naturalnego, </w:t>
            </w:r>
          </w:p>
          <w:p w:rsidR="00D14E89" w:rsidRPr="00901917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małe wykorzystanie i rozpoznawalność produktów lokalnych, </w:t>
            </w:r>
          </w:p>
          <w:p w:rsidR="005B39D1" w:rsidRPr="00901917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istnienie grup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 o utr</w:t>
            </w:r>
            <w:r w:rsidR="005B39D1" w:rsidRPr="00901917">
              <w:rPr>
                <w:rFonts w:ascii="Arial Narrow" w:hAnsi="Arial Narrow"/>
                <w:sz w:val="20"/>
                <w:szCs w:val="20"/>
              </w:rPr>
              <w:t>udnionym dostępie do rynku prac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C27CA" w:rsidRPr="00901917" w:rsidRDefault="007C27CA" w:rsidP="005B39D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Spójność kryterium z diagnozą obrazuje ujęcie w celach lub przedsięwzięciach bądź innych kryteriach tych aspektów.</w:t>
            </w:r>
            <w:r w:rsidR="005B39D1" w:rsidRPr="0090191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C27CA" w:rsidRPr="00901917" w:rsidRDefault="007C27CA" w:rsidP="00CD532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C27CA" w:rsidRPr="00901917" w:rsidRDefault="007C27CA" w:rsidP="00CD5329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Aby uzyskać punkty wymagane jest aby odnieść się konkretnie do zakresu spełnienia kryterium i uzasadnić jego spełnienie wskazując: rozwiązania zastosowane w operacji, podstawę działalności, sposób realizacji lub oddziaływanie na grupy docelowe. Punkty sumuje się zatem można uzyskać od 0 do 5 punktów.</w:t>
            </w:r>
          </w:p>
          <w:p w:rsidR="00D14E89" w:rsidRPr="00901917" w:rsidRDefault="00D14E89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D11" w:rsidRDefault="00BE0D11" w:rsidP="005B39D1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Kryterium to jest obowiązkowe dla LGD jeśli w LSR planuje się wykorzystanie funduszy w ramach PROW 2014-2020 – dowodzi to zawarcia w kryteriach wymogów programu.</w:t>
            </w:r>
          </w:p>
          <w:p w:rsidR="00D464A9" w:rsidRDefault="00D464A9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D464A9" w:rsidRPr="00D464A9" w:rsidRDefault="00D464A9" w:rsidP="00D464A9">
            <w:pPr>
              <w:autoSpaceDE w:val="0"/>
              <w:autoSpaceDN w:val="0"/>
              <w:adjustRightInd w:val="0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  <w:r w:rsidRPr="00D464A9">
              <w:rPr>
                <w:rFonts w:ascii="Arial Narrow" w:hAnsi="Arial Narrow"/>
                <w:sz w:val="20"/>
                <w:szCs w:val="20"/>
              </w:rPr>
              <w:t xml:space="preserve">Zatrudnienie oznacza: </w:t>
            </w:r>
            <w:r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pracę. Utrzymanie miejsca pracy przez co najmniej 3 lata od dnia wypłaty płatności końcowej;</w:t>
            </w:r>
          </w:p>
          <w:p w:rsidR="00D464A9" w:rsidRPr="00901917" w:rsidRDefault="00D464A9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6653" w:rsidRPr="00901917" w:rsidRDefault="002C6653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6653" w:rsidRPr="00901917" w:rsidRDefault="002C6653" w:rsidP="002C66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  <w:u w:val="single"/>
              </w:rPr>
              <w:t>Innowacja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 to wdrożenie nowego lub znacząco udoskonalonego produktu (wyrobu, usługi, procesu), nowej metody organizacyjnej, organizacji miejsca pracy lub stosunkach z otoczeniem, nowatorskich, niestandardowych, o eksperymentalnym charakterze, w nietypowy sposób podchodzących do lokalnych zasobów, tradycji, przyczyniających się do pozytywnych zmian na obszarze każdej z gmin wchodzących w skład LGD. Minimalnym wymogiem zaistnienia innowacji jest, aby produkt, proces, metoda organizacyjna były nowe (lub znacząco udoskonalone) dla organizacji. Zalicza się tu produkty, procesy i metody, które dana organizacja opracowała jako pierwsza, oraz te, które zostały przyswojone od innych firm lub podmiotów. Innowacyjność należy rozpatrywać w odniesieniu do obszaru LSR jako całości lub jego części (np. gminy).</w:t>
            </w:r>
          </w:p>
          <w:p w:rsidR="002C6653" w:rsidRPr="00901917" w:rsidRDefault="002C6653" w:rsidP="002C66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C6653" w:rsidRPr="00901917" w:rsidRDefault="002C6653" w:rsidP="002C6653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901917">
              <w:rPr>
                <w:rFonts w:ascii="Arial Narrow" w:hAnsi="Arial Narrow"/>
                <w:sz w:val="20"/>
                <w:szCs w:val="20"/>
                <w:u w:val="single"/>
              </w:rPr>
              <w:t>Rozwiązania sprzyjające ochronie środowiska lub klimatu</w:t>
            </w:r>
            <w:r w:rsidR="00FE54FA" w:rsidRPr="00901917">
              <w:rPr>
                <w:rFonts w:ascii="Arial Narrow" w:hAnsi="Arial Narrow"/>
                <w:sz w:val="20"/>
                <w:szCs w:val="20"/>
                <w:u w:val="single"/>
              </w:rPr>
              <w:t xml:space="preserve"> to m.in.</w:t>
            </w:r>
            <w:r w:rsidRPr="00901917">
              <w:rPr>
                <w:rFonts w:ascii="Arial Narrow" w:hAnsi="Arial Narrow"/>
                <w:sz w:val="20"/>
                <w:szCs w:val="20"/>
                <w:u w:val="single"/>
              </w:rPr>
              <w:t>:</w:t>
            </w:r>
          </w:p>
          <w:p w:rsidR="002C6653" w:rsidRPr="00901917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01917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w budownictwie materiałów termoizolacyjnych</w:t>
            </w:r>
          </w:p>
          <w:p w:rsidR="002C6653" w:rsidRPr="00901917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01917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zakup energooszczędnych maszyn urządzeń, narzędzi sprzętów</w:t>
            </w:r>
          </w:p>
          <w:p w:rsidR="002C6653" w:rsidRPr="00901917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01917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nowoczesnych technologii odzyskiwania ciepła</w:t>
            </w:r>
          </w:p>
          <w:p w:rsidR="002C6653" w:rsidRPr="00901917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01917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ekologicznych rozwiązań gospodarki odpadami</w:t>
            </w:r>
          </w:p>
          <w:p w:rsidR="002C6653" w:rsidRPr="00901917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zastosowanie ekologicznych materiałów</w:t>
            </w:r>
          </w:p>
          <w:p w:rsidR="002C6653" w:rsidRPr="00901917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wykorzystanie usług nie oddziałujących negatywnie na środowisko</w:t>
            </w:r>
          </w:p>
          <w:p w:rsidR="002C6653" w:rsidRPr="00901917" w:rsidRDefault="00FE54FA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2C6653" w:rsidRPr="00901917">
              <w:rPr>
                <w:rFonts w:ascii="Arial Narrow" w:hAnsi="Arial Narrow"/>
                <w:sz w:val="20"/>
                <w:szCs w:val="20"/>
              </w:rPr>
              <w:t>promowanie walorów środowiska naturalnego</w:t>
            </w:r>
          </w:p>
          <w:p w:rsidR="002C6653" w:rsidRPr="00901917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podnoszenie świadomości ekologicznej</w:t>
            </w:r>
          </w:p>
          <w:p w:rsidR="002C6653" w:rsidRPr="00901917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- promowanie postaw </w:t>
            </w:r>
            <w:proofErr w:type="spellStart"/>
            <w:r w:rsidRPr="00901917">
              <w:rPr>
                <w:rFonts w:ascii="Arial Narrow" w:hAnsi="Arial Narrow"/>
                <w:sz w:val="20"/>
                <w:szCs w:val="20"/>
              </w:rPr>
              <w:t>prośrodowiskowych</w:t>
            </w:r>
            <w:proofErr w:type="spellEnd"/>
            <w:r w:rsidRPr="00901917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901917">
              <w:rPr>
                <w:rFonts w:ascii="Arial Narrow" w:hAnsi="Arial Narrow"/>
                <w:sz w:val="20"/>
                <w:szCs w:val="20"/>
              </w:rPr>
              <w:t>proklimatycznych</w:t>
            </w:r>
            <w:proofErr w:type="spellEnd"/>
            <w:r w:rsidRPr="00901917">
              <w:rPr>
                <w:rFonts w:ascii="Arial Narrow" w:hAnsi="Arial Narrow"/>
                <w:sz w:val="20"/>
                <w:szCs w:val="20"/>
              </w:rPr>
              <w:t xml:space="preserve"> przeciwdziałanie pogorszeniu stanu środowiska naturalnego i zmianom klimatycznym</w:t>
            </w:r>
          </w:p>
          <w:p w:rsidR="002C6653" w:rsidRPr="00901917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- inwestycje na obszarach Natura 2000 związane z ekoturystyką</w:t>
            </w:r>
            <w:r w:rsidR="007C2D02" w:rsidRPr="0090191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01917">
              <w:rPr>
                <w:rFonts w:ascii="Arial Narrow" w:hAnsi="Arial Narrow"/>
                <w:sz w:val="20"/>
                <w:szCs w:val="20"/>
              </w:rPr>
              <w:t>tworzenie zielonych miejsc pracy</w:t>
            </w: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operacja będzie innowacyjna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operacja przewiduje zastosowanie rozwiązań sprzyjających ochronie środowiska lub klimatu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podstawę działalności będącej przedmiotem operacji będą stanowiły lokalne produkty rolne wytwarzane na obszarze objętym lokalną strategią rozwoju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operacja będzie ukierunkowana na potrzeby grupy defaworyzowanej ze względu na dostęp do rynku pracy</w:t>
            </w:r>
            <w:r w:rsidRPr="0090191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F0" w:rsidRPr="00A40A54" w:rsidTr="00B1608A">
        <w:trPr>
          <w:cantSplit/>
          <w:trHeight w:val="1271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B346F0" w:rsidRPr="00901917" w:rsidRDefault="00BE0D11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B346F0" w:rsidRPr="00901917" w:rsidRDefault="00B346F0" w:rsidP="003F5CDB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Operacja stworzy więcej miejsc pracy niż wymagają tego warunki przyznania pomocy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346F0" w:rsidRPr="00901917" w:rsidRDefault="00B1608A" w:rsidP="00B1608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+ 1 miejsce pracy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46F0" w:rsidRPr="00901917" w:rsidRDefault="00B1608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2</w:t>
            </w:r>
            <w:r w:rsidR="00B346F0" w:rsidRPr="00901917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46F0" w:rsidRPr="00901917" w:rsidRDefault="00924263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0-6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26489D" w:rsidRPr="00157B46" w:rsidRDefault="00B346F0" w:rsidP="0026489D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Kryterium premiuje operacje w ramach, których powstanie więcej miejsc pracy niż zakładane minimum. </w:t>
            </w:r>
            <w:r w:rsidR="0026489D" w:rsidRPr="00157B46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</w:t>
            </w:r>
            <w:r w:rsidR="0026489D">
              <w:rPr>
                <w:rFonts w:ascii="Arial Narrow" w:hAnsi="Arial Narrow"/>
                <w:sz w:val="20"/>
                <w:szCs w:val="20"/>
              </w:rPr>
              <w:t xml:space="preserve"> oraz na podstawie biznesplanu</w:t>
            </w:r>
            <w:r w:rsidR="0026489D" w:rsidRPr="00157B46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B346F0" w:rsidRPr="00901917" w:rsidRDefault="00B346F0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03F0E" w:rsidRPr="00901917" w:rsidRDefault="00B346F0" w:rsidP="00B346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Wyliczenie to musi pokazać liczbę miejsc pracy, które powstaną w wyniku realizacji operacji i utrzymane zostaną przez cały okres związania z celem. Od tak wyliczonej wartości odjęta zostanie wartość wymagana przepisami, czyli 1 miejsce. Powstała wartość zostanie przypisana właściwemu przedziałowi i na tej podstawie przyznane zostaną punkty. Kryterium to odpowiada na zdiagnozowany problem jakim jest niewystarczająca liczba miejsc pracy. </w:t>
            </w:r>
          </w:p>
          <w:p w:rsidR="00230483" w:rsidRPr="00901917" w:rsidRDefault="00230483" w:rsidP="00B346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464A9" w:rsidRPr="00D464A9" w:rsidRDefault="00D464A9" w:rsidP="00D464A9">
            <w:pPr>
              <w:autoSpaceDE w:val="0"/>
              <w:autoSpaceDN w:val="0"/>
              <w:adjustRightInd w:val="0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  <w:r w:rsidRPr="00D464A9">
              <w:rPr>
                <w:rFonts w:ascii="Arial Narrow" w:hAnsi="Arial Narrow"/>
                <w:sz w:val="20"/>
                <w:szCs w:val="20"/>
              </w:rPr>
              <w:t xml:space="preserve">Zatrudnienie oznacza: </w:t>
            </w:r>
            <w:r w:rsidRPr="00D464A9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pracę. Utrzymanie miejsca pracy przez co najmniej 3 lata od dnia wypłaty płatności końcowej;</w:t>
            </w:r>
          </w:p>
          <w:p w:rsidR="00230483" w:rsidRPr="00901917" w:rsidRDefault="00230483" w:rsidP="00230483">
            <w:pPr>
              <w:autoSpaceDE w:val="0"/>
              <w:autoSpaceDN w:val="0"/>
              <w:adjustRightInd w:val="0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</w:p>
          <w:p w:rsidR="00230483" w:rsidRPr="00901917" w:rsidRDefault="00230483" w:rsidP="00B346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Kryterium premiuje operacje, które przyczynią się do osiągnięcia celu ogólnego 1. Rozwinięta przedsiębiorczość i zwiększone zatrudnienie na obszarze LSR oraz wskaźnika rezultatu liczba utworzonych miejsc pracy.</w:t>
            </w:r>
          </w:p>
          <w:p w:rsidR="00BE0D11" w:rsidRPr="00901917" w:rsidRDefault="00BE0D11" w:rsidP="00B346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Kryterium to jest obowiązkowe dla LGD jeśli w LSR planuje się wykorzystanie funduszy w ramach PROW 2014-2020 – dowodzi to zawarcia w kryteriach wymogów programu.</w:t>
            </w:r>
          </w:p>
        </w:tc>
      </w:tr>
      <w:tr w:rsidR="007C27CA" w:rsidRPr="00A40A54" w:rsidTr="00B1608A">
        <w:trPr>
          <w:cantSplit/>
          <w:trHeight w:val="939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B1608A" w:rsidP="003F5CDB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01917">
              <w:rPr>
                <w:rFonts w:ascii="Arial Narrow" w:hAnsi="Arial Narrow"/>
                <w:color w:val="000000" w:themeColor="text1"/>
                <w:sz w:val="20"/>
                <w:szCs w:val="20"/>
              </w:rPr>
              <w:t>+ 2 miejsca pracy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B1608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4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B1608A">
        <w:trPr>
          <w:cantSplit/>
          <w:trHeight w:val="746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B1608A" w:rsidP="003F5CDB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01917">
              <w:rPr>
                <w:rFonts w:ascii="Arial Narrow" w:hAnsi="Arial Narrow"/>
                <w:color w:val="000000" w:themeColor="text1"/>
                <w:sz w:val="20"/>
                <w:szCs w:val="20"/>
              </w:rPr>
              <w:t>+ 3 i powyżej</w:t>
            </w:r>
            <w:r w:rsidR="007C27CA" w:rsidRPr="0090191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B1608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6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8645D8">
        <w:trPr>
          <w:cantSplit/>
          <w:trHeight w:val="876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901917" w:rsidRDefault="008645D8" w:rsidP="005E66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Liczba mieszkańców w miejscowości, w której </w:t>
            </w:r>
            <w:r w:rsidRPr="00901917">
              <w:rPr>
                <w:rFonts w:ascii="Arial Narrow" w:hAnsi="Arial Narrow"/>
                <w:sz w:val="20"/>
                <w:szCs w:val="20"/>
              </w:rPr>
              <w:lastRenderedPageBreak/>
              <w:t>realizowana będzie operacja wynosi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7C27CA" w:rsidP="000F7A9D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lastRenderedPageBreak/>
              <w:t xml:space="preserve">X &lt; </w:t>
            </w:r>
            <w:r w:rsidR="000F7A9D" w:rsidRPr="00901917">
              <w:rPr>
                <w:rFonts w:ascii="Arial Narrow" w:hAnsi="Arial Narrow"/>
                <w:sz w:val="20"/>
                <w:szCs w:val="20"/>
              </w:rPr>
              <w:t>200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3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901917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0-3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E03F0E" w:rsidRPr="00901917" w:rsidRDefault="00E03F0E" w:rsidP="00E03F0E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Diagnoza obszaru wykazała, iż na terenach wiejskich dostęp do rynku pracy jest mocno ograniczony co w znacznym stopniu wpływa na poziom bezrobocia na terenach wiejskich. Kryterium te ma premiować operacje polegające na </w:t>
            </w:r>
            <w:r w:rsidR="00BE1E87" w:rsidRPr="00901917">
              <w:rPr>
                <w:rFonts w:ascii="Arial Narrow" w:hAnsi="Arial Narrow"/>
                <w:sz w:val="20"/>
                <w:szCs w:val="20"/>
              </w:rPr>
              <w:t>tworzeniu miejsc pracy na terenach wiejskich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, przy czym im mniejsza miejscowość tym większa do uzyskania liczba </w:t>
            </w:r>
            <w:r w:rsidRPr="00901917">
              <w:rPr>
                <w:rFonts w:ascii="Arial Narrow" w:hAnsi="Arial Narrow"/>
                <w:sz w:val="20"/>
                <w:szCs w:val="20"/>
              </w:rPr>
              <w:lastRenderedPageBreak/>
              <w:t>punktów. Kryterium nie odnosi się do obszaru na jakim będzie prowadziła działalność firma ale do miejscowości, w której będzie miała siedzibę.</w:t>
            </w:r>
            <w:r w:rsidR="00BE1E87" w:rsidRPr="0090191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C27CA" w:rsidRPr="00901917" w:rsidRDefault="007C27CA" w:rsidP="006E42E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Weryfikacja kryterium nastąpi głównie na podstawie </w:t>
            </w:r>
            <w:r w:rsidR="00E03F0E" w:rsidRPr="00901917">
              <w:rPr>
                <w:rFonts w:ascii="Arial Narrow" w:hAnsi="Arial Narrow"/>
                <w:sz w:val="20"/>
                <w:szCs w:val="20"/>
              </w:rPr>
              <w:t>Zaświadczenia/Oś</w:t>
            </w:r>
            <w:r w:rsidR="000F7A9D" w:rsidRPr="00901917">
              <w:rPr>
                <w:rFonts w:ascii="Arial Narrow" w:hAnsi="Arial Narrow"/>
                <w:sz w:val="20"/>
                <w:szCs w:val="20"/>
              </w:rPr>
              <w:t xml:space="preserve">wiadczenia 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wójta / burmistrza wskazującego liczbę mieszkańców w miejscowości, w której planowana będzie realizacja operacji. Liczba mieszkańców miejscowości zostanie przyporządkowana do właściwego przedziału wskazującego wielkość miejscowości i na tej podstawie zostaną przyznane punkty. </w:t>
            </w:r>
          </w:p>
          <w:p w:rsidR="007C27CA" w:rsidRPr="00901917" w:rsidRDefault="007C27CA" w:rsidP="006E42E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Przez miejscowość rozumie się </w:t>
            </w:r>
            <w:hyperlink r:id="rId6" w:tooltip="Jednostka osadnicza" w:history="1">
              <w:r w:rsidRPr="00901917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jednostkę osadniczą</w:t>
              </w:r>
            </w:hyperlink>
            <w:r w:rsidRPr="00901917">
              <w:rPr>
                <w:rFonts w:ascii="Arial Narrow" w:hAnsi="Arial Narrow"/>
                <w:sz w:val="20"/>
                <w:szCs w:val="20"/>
              </w:rPr>
              <w:t xml:space="preserve"> lub inny </w:t>
            </w:r>
            <w:hyperlink r:id="rId7" w:tooltip="Obszar zabudowany" w:history="1">
              <w:r w:rsidRPr="00901917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obszar zabudowany</w:t>
              </w:r>
            </w:hyperlink>
            <w:r w:rsidRPr="00901917">
              <w:rPr>
                <w:rFonts w:ascii="Arial Narrow" w:hAnsi="Arial Narrow"/>
                <w:sz w:val="20"/>
                <w:szCs w:val="20"/>
              </w:rPr>
              <w:t xml:space="preserve"> odróżniający się od innych miejscowości odrębną nazwą, a przy jednakowej nazwie, odmiennym określeniem ich rodzaju.</w:t>
            </w:r>
          </w:p>
          <w:p w:rsidR="00E03F0E" w:rsidRPr="00901917" w:rsidRDefault="00E03F0E" w:rsidP="006E42E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03F0E" w:rsidRPr="00901917" w:rsidRDefault="00E03F0E" w:rsidP="006E42E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Program wymaga, aby  w kryteriach przewidzieć preferencje dla operacji realizowanych w miejscowościach poniżej 5 tys. mieszkańców. </w:t>
            </w:r>
          </w:p>
          <w:p w:rsidR="007C27CA" w:rsidRPr="00901917" w:rsidRDefault="007C27CA" w:rsidP="00E03F0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do osiągnięcia celu ogólnego </w:t>
            </w:r>
            <w:r w:rsidR="000F7A9D" w:rsidRPr="00901917">
              <w:rPr>
                <w:rFonts w:ascii="Arial Narrow" w:hAnsi="Arial Narrow"/>
                <w:sz w:val="20"/>
                <w:szCs w:val="20"/>
              </w:rPr>
              <w:t>2.</w:t>
            </w:r>
            <w:r w:rsidR="00E03F0E" w:rsidRPr="00901917">
              <w:rPr>
                <w:rFonts w:ascii="Arial Narrow" w:hAnsi="Arial Narrow"/>
                <w:sz w:val="20"/>
                <w:szCs w:val="20"/>
              </w:rPr>
              <w:t xml:space="preserve"> Rozwinięta przedsiębiorczość i zwiększone zatrudnienie na obszarze LSR</w:t>
            </w:r>
          </w:p>
        </w:tc>
      </w:tr>
      <w:tr w:rsidR="007C27CA" w:rsidRPr="00A40A54" w:rsidTr="008645D8">
        <w:trPr>
          <w:cantSplit/>
          <w:trHeight w:val="876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</w:tcPr>
          <w:p w:rsidR="007C27CA" w:rsidRPr="00901917" w:rsidRDefault="007C27CA" w:rsidP="008844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0F7A9D" w:rsidP="004B6C88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20</w:t>
            </w:r>
            <w:r w:rsidR="00007A96" w:rsidRPr="00901917">
              <w:rPr>
                <w:rFonts w:ascii="Arial Narrow" w:hAnsi="Arial Narrow"/>
                <w:sz w:val="20"/>
                <w:szCs w:val="20"/>
              </w:rPr>
              <w:t xml:space="preserve">0 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 ≤ X &lt; </w:t>
            </w:r>
            <w:r w:rsidR="004B6C88" w:rsidRPr="00901917">
              <w:rPr>
                <w:rFonts w:ascii="Arial Narrow" w:hAnsi="Arial Narrow"/>
                <w:sz w:val="20"/>
                <w:szCs w:val="20"/>
              </w:rPr>
              <w:t>500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8645D8">
        <w:trPr>
          <w:cantSplit/>
          <w:trHeight w:val="876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</w:tcPr>
          <w:p w:rsidR="007C27CA" w:rsidRPr="00901917" w:rsidRDefault="007C27CA" w:rsidP="008844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4B6C88" w:rsidP="00E03F0E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500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 ≤ X &lt; </w:t>
            </w:r>
            <w:r w:rsidR="00E03F0E" w:rsidRPr="00901917">
              <w:rPr>
                <w:rFonts w:ascii="Arial Narrow" w:hAnsi="Arial Narrow"/>
                <w:sz w:val="20"/>
                <w:szCs w:val="20"/>
              </w:rPr>
              <w:t>5</w:t>
            </w:r>
            <w:r w:rsidR="007C27CA" w:rsidRPr="00901917">
              <w:rPr>
                <w:rFonts w:ascii="Arial Narrow" w:hAnsi="Arial Narrow"/>
                <w:sz w:val="20"/>
                <w:szCs w:val="20"/>
              </w:rPr>
              <w:t xml:space="preserve"> tys.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150E67">
        <w:trPr>
          <w:cantSplit/>
          <w:trHeight w:val="1360"/>
        </w:trPr>
        <w:tc>
          <w:tcPr>
            <w:tcW w:w="323" w:type="dxa"/>
            <w:shd w:val="clear" w:color="auto" w:fill="auto"/>
            <w:vAlign w:val="center"/>
          </w:tcPr>
          <w:p w:rsidR="007C27CA" w:rsidRPr="00901917" w:rsidRDefault="001B59B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C27CA" w:rsidRPr="00901917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</w:p>
          <w:p w:rsidR="007C27CA" w:rsidRPr="00901917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Wnioskodawca skorzystał z doradztwa świadczonego w LGD</w:t>
            </w:r>
          </w:p>
          <w:p w:rsidR="007C27CA" w:rsidRPr="00901917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901917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901917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2</w:t>
            </w:r>
            <w:r w:rsidR="0027100C" w:rsidRPr="00901917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7CA" w:rsidRPr="00901917" w:rsidRDefault="007C27CA" w:rsidP="00360AE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0 lub 2 pkt</w:t>
            </w:r>
          </w:p>
        </w:tc>
        <w:tc>
          <w:tcPr>
            <w:tcW w:w="8985" w:type="dxa"/>
            <w:shd w:val="clear" w:color="auto" w:fill="auto"/>
          </w:tcPr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Kryterium to pozwoli na sprawniejszą realizację wskaźników, a zatem również przedsięwzięć i celów, gdyż osoby, które skorzystają z doradztwa, będą miały większą wiedzę, a ich wnioski będą lepszej jakości, więc będą </w:t>
            </w:r>
            <w:r w:rsidR="001B59B7" w:rsidRPr="00901917">
              <w:rPr>
                <w:rFonts w:ascii="Arial Narrow" w:hAnsi="Arial Narrow"/>
                <w:sz w:val="20"/>
                <w:szCs w:val="20"/>
              </w:rPr>
              <w:t xml:space="preserve">sprawniej 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i w większym odsetku realizowane. </w:t>
            </w:r>
          </w:p>
          <w:p w:rsidR="00021722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Weryfikacja kryterium nastąpi na podstawie Zaświadczenia o doradztwie udzielonym w biurze</w:t>
            </w:r>
            <w:r w:rsidR="00021722" w:rsidRPr="00901917">
              <w:rPr>
                <w:rFonts w:ascii="Arial Narrow" w:hAnsi="Arial Narrow"/>
                <w:sz w:val="20"/>
                <w:szCs w:val="20"/>
              </w:rPr>
              <w:t xml:space="preserve"> LGD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W zaświadczeniu określony zostanie termin i zakres doradztwa, jednak nie będzie to przedmiotem oceny. Jeżeli wnioskodawca załączy </w:t>
            </w:r>
            <w:r w:rsidR="00021722" w:rsidRPr="00901917">
              <w:rPr>
                <w:rFonts w:ascii="Arial Narrow" w:hAnsi="Arial Narrow"/>
                <w:sz w:val="20"/>
                <w:szCs w:val="20"/>
              </w:rPr>
              <w:t>zaświadczenie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 otrzyma 2 punkty jeśli nie, nie otrzyma punktów.</w:t>
            </w:r>
          </w:p>
          <w:p w:rsidR="007C27CA" w:rsidRPr="00901917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Podczas diagnozy wykazano między innymi trudności </w:t>
            </w:r>
            <w:r w:rsidR="00571563" w:rsidRPr="00901917">
              <w:rPr>
                <w:rFonts w:ascii="Arial Narrow" w:hAnsi="Arial Narrow"/>
                <w:sz w:val="20"/>
                <w:szCs w:val="20"/>
              </w:rPr>
              <w:t>beneficjentów z wypełnianiem dokumentacji aplikacyjnej</w:t>
            </w:r>
            <w:r w:rsidRPr="00901917">
              <w:rPr>
                <w:rFonts w:ascii="Arial Narrow" w:hAnsi="Arial Narrow"/>
                <w:sz w:val="20"/>
                <w:szCs w:val="20"/>
              </w:rPr>
              <w:t>– ujęcie tego kryterium pozwoli niwelować te problemy.</w:t>
            </w:r>
          </w:p>
          <w:p w:rsidR="00150E67" w:rsidRPr="00901917" w:rsidRDefault="00150E6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B59B7" w:rsidRPr="00901917" w:rsidRDefault="001B59B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Doradztwo jest wymagane w ramach realizacji LSR, zatem kryterium to realizuje wymóg podejścia RLKS i PROW 2014-2020.</w:t>
            </w:r>
          </w:p>
        </w:tc>
      </w:tr>
      <w:tr w:rsidR="0027100C" w:rsidRPr="00A40A54" w:rsidTr="00901917">
        <w:trPr>
          <w:cantSplit/>
          <w:trHeight w:val="846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27100C" w:rsidRPr="00901917" w:rsidRDefault="0027100C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27100C" w:rsidRPr="00901917" w:rsidRDefault="0027100C" w:rsidP="00700FD0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Wkład własny wnioskodawcy przekracza określoną w LSR intensywność pomocy 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100C" w:rsidRPr="00901917" w:rsidRDefault="0027100C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5-10%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100C" w:rsidRPr="00901917" w:rsidRDefault="0027100C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100C" w:rsidRPr="00901917" w:rsidRDefault="0027100C" w:rsidP="00360AE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0 – 3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26489D" w:rsidRDefault="0027100C" w:rsidP="0026489D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Kryterium to pozwoli na premiowanie operacji w ramach których wkład własny wnioskodawcy przekracza intensywność określoną w PROW 2014-2020 (według ram określonych w LSR). Należy odnieść się do maksymalnej możliwej intensywności </w:t>
            </w:r>
            <w:r w:rsidR="00595C49" w:rsidRPr="00901917">
              <w:rPr>
                <w:rFonts w:ascii="Arial Narrow" w:hAnsi="Arial Narrow"/>
                <w:sz w:val="20"/>
                <w:szCs w:val="20"/>
              </w:rPr>
              <w:t xml:space="preserve">pomocy 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założonej w LSR </w:t>
            </w:r>
            <w:r w:rsidR="00595C49" w:rsidRPr="00901917">
              <w:rPr>
                <w:rFonts w:ascii="Arial Narrow" w:hAnsi="Arial Narrow"/>
                <w:sz w:val="20"/>
                <w:szCs w:val="20"/>
              </w:rPr>
              <w:t xml:space="preserve">dotyczącej </w:t>
            </w:r>
            <w:r w:rsidRPr="00901917">
              <w:rPr>
                <w:rFonts w:ascii="Arial Narrow" w:hAnsi="Arial Narrow"/>
                <w:sz w:val="20"/>
                <w:szCs w:val="20"/>
              </w:rPr>
              <w:t>kosztów kwalifikowanych</w:t>
            </w:r>
            <w:r w:rsidR="00595C49" w:rsidRPr="00901917">
              <w:rPr>
                <w:rFonts w:ascii="Arial Narrow" w:hAnsi="Arial Narrow"/>
                <w:sz w:val="20"/>
                <w:szCs w:val="20"/>
              </w:rPr>
              <w:t xml:space="preserve"> i wynoszącej 70%. Na tej podstawie przyjmujemy 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wartość </w:t>
            </w:r>
            <w:r w:rsidR="00595C49" w:rsidRPr="00901917">
              <w:rPr>
                <w:rFonts w:ascii="Arial Narrow" w:hAnsi="Arial Narrow"/>
                <w:sz w:val="20"/>
                <w:szCs w:val="20"/>
              </w:rPr>
              <w:t xml:space="preserve">bazową 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wkładu własnego </w:t>
            </w:r>
            <w:r w:rsidR="00595C49" w:rsidRPr="00901917">
              <w:rPr>
                <w:rFonts w:ascii="Arial Narrow" w:hAnsi="Arial Narrow"/>
                <w:sz w:val="20"/>
                <w:szCs w:val="20"/>
              </w:rPr>
              <w:t xml:space="preserve">określonego </w:t>
            </w:r>
            <w:r w:rsidRPr="00901917">
              <w:rPr>
                <w:rFonts w:ascii="Arial Narrow" w:hAnsi="Arial Narrow"/>
                <w:sz w:val="20"/>
                <w:szCs w:val="20"/>
              </w:rPr>
              <w:t>w LSR</w:t>
            </w:r>
            <w:r w:rsidR="00595C49" w:rsidRPr="00901917">
              <w:rPr>
                <w:rFonts w:ascii="Arial Narrow" w:hAnsi="Arial Narrow"/>
                <w:sz w:val="20"/>
                <w:szCs w:val="20"/>
              </w:rPr>
              <w:t xml:space="preserve"> na 30% kosztów kwalifikowanych, od której zaczynamy naliczać procenty zwiększonego wkładu własnego. </w:t>
            </w:r>
            <w:r w:rsidR="0026489D" w:rsidRPr="00901917">
              <w:rPr>
                <w:rFonts w:ascii="Arial Narrow" w:hAnsi="Arial Narrow"/>
                <w:sz w:val="20"/>
                <w:szCs w:val="20"/>
              </w:rPr>
              <w:t xml:space="preserve">Otrzymany wynik przyporządkowujemy do kryterium i przyznajemy punkty. </w:t>
            </w:r>
          </w:p>
          <w:p w:rsidR="00756C11" w:rsidRPr="00901917" w:rsidRDefault="00756C11" w:rsidP="0026489D">
            <w:pPr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Weryfikacja kryterium nastąpi głównie na podstawie wyliczeń zawartych we wniosku o przyznanie pomo</w:t>
            </w:r>
            <w:r w:rsidR="0026489D">
              <w:rPr>
                <w:rFonts w:ascii="Arial Narrow" w:hAnsi="Arial Narrow"/>
                <w:sz w:val="20"/>
                <w:szCs w:val="20"/>
              </w:rPr>
              <w:t xml:space="preserve">cy złożonego przez wnioskodawcę oraz </w:t>
            </w:r>
            <w:r w:rsidR="0026489D" w:rsidRPr="00157B46">
              <w:rPr>
                <w:rFonts w:ascii="Arial Narrow" w:hAnsi="Arial Narrow"/>
                <w:sz w:val="20"/>
                <w:szCs w:val="20"/>
              </w:rPr>
              <w:t>na podstawie opisu spełnienia tego kryterium w Wymaganym dokumencie potwierdzającym spełnienie kryteriów wyboru składanym przez Wnioskodawcę, które ma formę oświadczenia.</w:t>
            </w:r>
            <w:r w:rsidR="0026489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01917" w:rsidRPr="00901917" w:rsidRDefault="00901917" w:rsidP="0027100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7100C" w:rsidRPr="00901917" w:rsidRDefault="0027100C" w:rsidP="0027100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Podejście to pozwoli na zaspokojenie w większym stopniu zdiagnozowanych potrzeb mieszkańców, gdyż pozwoli zrealizować w tym samym budżecie więcej projektów.</w:t>
            </w:r>
          </w:p>
          <w:p w:rsidR="0027100C" w:rsidRPr="00901917" w:rsidRDefault="0027100C" w:rsidP="00595C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 xml:space="preserve">Kryterium wpłynie pozytywnie na realizację większej liczby wskaźników w ramach </w:t>
            </w:r>
            <w:r w:rsidR="00595C49" w:rsidRPr="00901917">
              <w:rPr>
                <w:rFonts w:ascii="Arial Narrow" w:hAnsi="Arial Narrow"/>
                <w:sz w:val="20"/>
                <w:szCs w:val="20"/>
              </w:rPr>
              <w:t>przedsięwzięcia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, zatem pozytywnie wpłynie </w:t>
            </w:r>
            <w:r w:rsidR="00595C49" w:rsidRPr="00901917">
              <w:rPr>
                <w:rFonts w:ascii="Arial Narrow" w:hAnsi="Arial Narrow"/>
                <w:sz w:val="20"/>
                <w:szCs w:val="20"/>
              </w:rPr>
              <w:t>na realizację celu</w:t>
            </w:r>
            <w:r w:rsidRPr="00901917">
              <w:rPr>
                <w:rFonts w:ascii="Arial Narrow" w:hAnsi="Arial Narrow"/>
                <w:sz w:val="20"/>
                <w:szCs w:val="20"/>
              </w:rPr>
              <w:t xml:space="preserve"> ogólne</w:t>
            </w:r>
            <w:r w:rsidR="00595C49" w:rsidRPr="00901917">
              <w:rPr>
                <w:rFonts w:ascii="Arial Narrow" w:hAnsi="Arial Narrow"/>
                <w:sz w:val="20"/>
                <w:szCs w:val="20"/>
              </w:rPr>
              <w:t>go</w:t>
            </w:r>
            <w:r w:rsidRPr="0090191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27100C" w:rsidRPr="00A40A54" w:rsidTr="00901917">
        <w:trPr>
          <w:cantSplit/>
          <w:trHeight w:val="985"/>
        </w:trPr>
        <w:tc>
          <w:tcPr>
            <w:tcW w:w="323" w:type="dxa"/>
            <w:vMerge/>
            <w:shd w:val="clear" w:color="auto" w:fill="auto"/>
            <w:vAlign w:val="center"/>
          </w:tcPr>
          <w:p w:rsidR="0027100C" w:rsidRPr="00FE54FA" w:rsidRDefault="0027100C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27100C" w:rsidRPr="00FE54FA" w:rsidRDefault="0027100C" w:rsidP="00700FD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7100C" w:rsidRPr="00FE54FA" w:rsidRDefault="0027100C" w:rsidP="003F5C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Powyżej 10% do 20%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100C" w:rsidRPr="00FE54FA" w:rsidRDefault="0027100C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100C" w:rsidRPr="00FE54FA" w:rsidRDefault="0027100C" w:rsidP="00360AE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27100C" w:rsidRPr="00FE54FA" w:rsidRDefault="0027100C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7100C" w:rsidRPr="00A40A54" w:rsidTr="00901917">
        <w:trPr>
          <w:cantSplit/>
          <w:trHeight w:val="1127"/>
        </w:trPr>
        <w:tc>
          <w:tcPr>
            <w:tcW w:w="323" w:type="dxa"/>
            <w:vMerge/>
            <w:shd w:val="clear" w:color="auto" w:fill="auto"/>
            <w:vAlign w:val="center"/>
          </w:tcPr>
          <w:p w:rsidR="0027100C" w:rsidRPr="00FE54FA" w:rsidRDefault="0027100C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27100C" w:rsidRPr="00FE54FA" w:rsidRDefault="0027100C" w:rsidP="00700FD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7100C" w:rsidRPr="00FE54FA" w:rsidRDefault="0027100C" w:rsidP="003F5C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Powyżej 20%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100C" w:rsidRPr="00FE54FA" w:rsidRDefault="0027100C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100C" w:rsidRPr="00FE54FA" w:rsidRDefault="0027100C" w:rsidP="00360AE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27100C" w:rsidRPr="00FE54FA" w:rsidRDefault="0027100C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Pr="00A40A54" w:rsidRDefault="001E3EF1" w:rsidP="00351C2E">
      <w:pPr>
        <w:rPr>
          <w:rFonts w:ascii="Arial Narrow" w:hAnsi="Arial Narrow"/>
          <w:sz w:val="22"/>
          <w:szCs w:val="22"/>
        </w:rPr>
      </w:pPr>
    </w:p>
    <w:sectPr w:rsidR="001E3EF1" w:rsidRPr="00A40A54" w:rsidSect="00754F1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0F2C"/>
    <w:multiLevelType w:val="hybridMultilevel"/>
    <w:tmpl w:val="67A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73755"/>
    <w:multiLevelType w:val="hybridMultilevel"/>
    <w:tmpl w:val="6A2E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E5"/>
    <w:rsid w:val="00004B7C"/>
    <w:rsid w:val="00007A96"/>
    <w:rsid w:val="00013825"/>
    <w:rsid w:val="00015560"/>
    <w:rsid w:val="00015C1E"/>
    <w:rsid w:val="00020A4D"/>
    <w:rsid w:val="00021722"/>
    <w:rsid w:val="00026DA1"/>
    <w:rsid w:val="00026E65"/>
    <w:rsid w:val="00045433"/>
    <w:rsid w:val="00052068"/>
    <w:rsid w:val="00073367"/>
    <w:rsid w:val="00076D80"/>
    <w:rsid w:val="0008131D"/>
    <w:rsid w:val="0008254F"/>
    <w:rsid w:val="00096E5C"/>
    <w:rsid w:val="000A4465"/>
    <w:rsid w:val="000B17AB"/>
    <w:rsid w:val="000C0EB4"/>
    <w:rsid w:val="000D08CE"/>
    <w:rsid w:val="000D5BE7"/>
    <w:rsid w:val="000F7A9D"/>
    <w:rsid w:val="001005BB"/>
    <w:rsid w:val="00100E34"/>
    <w:rsid w:val="00101461"/>
    <w:rsid w:val="001023F7"/>
    <w:rsid w:val="001047EE"/>
    <w:rsid w:val="00127AED"/>
    <w:rsid w:val="001324D5"/>
    <w:rsid w:val="00132E26"/>
    <w:rsid w:val="00140CE1"/>
    <w:rsid w:val="00147688"/>
    <w:rsid w:val="00150925"/>
    <w:rsid w:val="00150E67"/>
    <w:rsid w:val="001612B1"/>
    <w:rsid w:val="00162C19"/>
    <w:rsid w:val="00167633"/>
    <w:rsid w:val="00172EE2"/>
    <w:rsid w:val="0017365B"/>
    <w:rsid w:val="00174752"/>
    <w:rsid w:val="001751A2"/>
    <w:rsid w:val="00176394"/>
    <w:rsid w:val="00177C01"/>
    <w:rsid w:val="00177C82"/>
    <w:rsid w:val="00184759"/>
    <w:rsid w:val="00186B24"/>
    <w:rsid w:val="00192AF8"/>
    <w:rsid w:val="001A114D"/>
    <w:rsid w:val="001A1EB9"/>
    <w:rsid w:val="001B59B7"/>
    <w:rsid w:val="001B7B88"/>
    <w:rsid w:val="001C48AD"/>
    <w:rsid w:val="001D588D"/>
    <w:rsid w:val="001D6151"/>
    <w:rsid w:val="001D6B4B"/>
    <w:rsid w:val="001D7B8A"/>
    <w:rsid w:val="001E3EF1"/>
    <w:rsid w:val="002004EB"/>
    <w:rsid w:val="002106E8"/>
    <w:rsid w:val="00216E4C"/>
    <w:rsid w:val="0022506B"/>
    <w:rsid w:val="002253A2"/>
    <w:rsid w:val="00230483"/>
    <w:rsid w:val="00232D95"/>
    <w:rsid w:val="002334F4"/>
    <w:rsid w:val="00250E14"/>
    <w:rsid w:val="00253149"/>
    <w:rsid w:val="00255F58"/>
    <w:rsid w:val="00260A2B"/>
    <w:rsid w:val="0026489D"/>
    <w:rsid w:val="0027100C"/>
    <w:rsid w:val="00280E8B"/>
    <w:rsid w:val="00286D2B"/>
    <w:rsid w:val="00291CF8"/>
    <w:rsid w:val="00297C9C"/>
    <w:rsid w:val="002A21AE"/>
    <w:rsid w:val="002C5DE2"/>
    <w:rsid w:val="002C6653"/>
    <w:rsid w:val="002D1B61"/>
    <w:rsid w:val="002D23B2"/>
    <w:rsid w:val="002D7716"/>
    <w:rsid w:val="002E350B"/>
    <w:rsid w:val="00302AA1"/>
    <w:rsid w:val="00304870"/>
    <w:rsid w:val="0031433C"/>
    <w:rsid w:val="003256D4"/>
    <w:rsid w:val="00325C5F"/>
    <w:rsid w:val="00330F42"/>
    <w:rsid w:val="0033122E"/>
    <w:rsid w:val="00334829"/>
    <w:rsid w:val="00341905"/>
    <w:rsid w:val="00344B81"/>
    <w:rsid w:val="00351C2E"/>
    <w:rsid w:val="00356AFE"/>
    <w:rsid w:val="0035790D"/>
    <w:rsid w:val="00360AD7"/>
    <w:rsid w:val="00360AE5"/>
    <w:rsid w:val="00363E2E"/>
    <w:rsid w:val="003648BC"/>
    <w:rsid w:val="003655E6"/>
    <w:rsid w:val="00371893"/>
    <w:rsid w:val="00375BB4"/>
    <w:rsid w:val="003763C8"/>
    <w:rsid w:val="003850BA"/>
    <w:rsid w:val="0039200D"/>
    <w:rsid w:val="0039391E"/>
    <w:rsid w:val="00394F47"/>
    <w:rsid w:val="00395AD5"/>
    <w:rsid w:val="0039605C"/>
    <w:rsid w:val="00397CF0"/>
    <w:rsid w:val="003A5855"/>
    <w:rsid w:val="003B34C6"/>
    <w:rsid w:val="003C5227"/>
    <w:rsid w:val="003C72B1"/>
    <w:rsid w:val="003D20B3"/>
    <w:rsid w:val="003D2DCC"/>
    <w:rsid w:val="003D4022"/>
    <w:rsid w:val="003E01D3"/>
    <w:rsid w:val="003E2B2A"/>
    <w:rsid w:val="003F235B"/>
    <w:rsid w:val="003F29F0"/>
    <w:rsid w:val="003F5CDB"/>
    <w:rsid w:val="003F7E98"/>
    <w:rsid w:val="0040304F"/>
    <w:rsid w:val="0040464D"/>
    <w:rsid w:val="0041112D"/>
    <w:rsid w:val="0041393E"/>
    <w:rsid w:val="0042328D"/>
    <w:rsid w:val="00424A21"/>
    <w:rsid w:val="004302A2"/>
    <w:rsid w:val="004308AE"/>
    <w:rsid w:val="00431E7A"/>
    <w:rsid w:val="00435DB9"/>
    <w:rsid w:val="004371F4"/>
    <w:rsid w:val="00443EAB"/>
    <w:rsid w:val="00446F3F"/>
    <w:rsid w:val="00456CCD"/>
    <w:rsid w:val="004656C2"/>
    <w:rsid w:val="00466028"/>
    <w:rsid w:val="00467138"/>
    <w:rsid w:val="00475F6C"/>
    <w:rsid w:val="00492F09"/>
    <w:rsid w:val="004A3731"/>
    <w:rsid w:val="004A3E4A"/>
    <w:rsid w:val="004A5332"/>
    <w:rsid w:val="004A6312"/>
    <w:rsid w:val="004B6C88"/>
    <w:rsid w:val="004C36C3"/>
    <w:rsid w:val="004C5568"/>
    <w:rsid w:val="004C7D53"/>
    <w:rsid w:val="004D0043"/>
    <w:rsid w:val="004D448D"/>
    <w:rsid w:val="004E0148"/>
    <w:rsid w:val="004E202C"/>
    <w:rsid w:val="004E43B7"/>
    <w:rsid w:val="004E6F41"/>
    <w:rsid w:val="004F1237"/>
    <w:rsid w:val="004F31B5"/>
    <w:rsid w:val="0051030A"/>
    <w:rsid w:val="0051065A"/>
    <w:rsid w:val="00511636"/>
    <w:rsid w:val="00512262"/>
    <w:rsid w:val="00532A4B"/>
    <w:rsid w:val="00533562"/>
    <w:rsid w:val="0055208F"/>
    <w:rsid w:val="00563EA8"/>
    <w:rsid w:val="005666CA"/>
    <w:rsid w:val="0057035D"/>
    <w:rsid w:val="00571563"/>
    <w:rsid w:val="00571657"/>
    <w:rsid w:val="00571DEA"/>
    <w:rsid w:val="005817AC"/>
    <w:rsid w:val="00584D9A"/>
    <w:rsid w:val="0058741D"/>
    <w:rsid w:val="00595C49"/>
    <w:rsid w:val="00596B35"/>
    <w:rsid w:val="005A2AE4"/>
    <w:rsid w:val="005B1846"/>
    <w:rsid w:val="005B198D"/>
    <w:rsid w:val="005B39D1"/>
    <w:rsid w:val="005B48AE"/>
    <w:rsid w:val="005B72E2"/>
    <w:rsid w:val="005C1C24"/>
    <w:rsid w:val="005C4284"/>
    <w:rsid w:val="005C6089"/>
    <w:rsid w:val="005D1A8D"/>
    <w:rsid w:val="005E241B"/>
    <w:rsid w:val="005E6611"/>
    <w:rsid w:val="005E69AF"/>
    <w:rsid w:val="005F75A5"/>
    <w:rsid w:val="006104A4"/>
    <w:rsid w:val="00615FB0"/>
    <w:rsid w:val="006236E1"/>
    <w:rsid w:val="00632729"/>
    <w:rsid w:val="006436E5"/>
    <w:rsid w:val="006546C1"/>
    <w:rsid w:val="00672D82"/>
    <w:rsid w:val="00673946"/>
    <w:rsid w:val="00683006"/>
    <w:rsid w:val="006867DB"/>
    <w:rsid w:val="006965A0"/>
    <w:rsid w:val="006A31B2"/>
    <w:rsid w:val="006D1E6F"/>
    <w:rsid w:val="006E42E5"/>
    <w:rsid w:val="006F30E0"/>
    <w:rsid w:val="006F7390"/>
    <w:rsid w:val="006F77BE"/>
    <w:rsid w:val="00700FD0"/>
    <w:rsid w:val="007047FF"/>
    <w:rsid w:val="00714FFD"/>
    <w:rsid w:val="00722944"/>
    <w:rsid w:val="00724A1B"/>
    <w:rsid w:val="007275D8"/>
    <w:rsid w:val="00732FCD"/>
    <w:rsid w:val="00733FE8"/>
    <w:rsid w:val="00741C00"/>
    <w:rsid w:val="00746694"/>
    <w:rsid w:val="0075109B"/>
    <w:rsid w:val="00754F1F"/>
    <w:rsid w:val="00756C11"/>
    <w:rsid w:val="00760C19"/>
    <w:rsid w:val="00762626"/>
    <w:rsid w:val="007720A9"/>
    <w:rsid w:val="00773910"/>
    <w:rsid w:val="00775FF0"/>
    <w:rsid w:val="00781AC4"/>
    <w:rsid w:val="007823C4"/>
    <w:rsid w:val="007826A1"/>
    <w:rsid w:val="00785910"/>
    <w:rsid w:val="0078753E"/>
    <w:rsid w:val="00790D3F"/>
    <w:rsid w:val="007934DA"/>
    <w:rsid w:val="00793759"/>
    <w:rsid w:val="00794F1E"/>
    <w:rsid w:val="007B161E"/>
    <w:rsid w:val="007B1665"/>
    <w:rsid w:val="007B614C"/>
    <w:rsid w:val="007C27CA"/>
    <w:rsid w:val="007C2D02"/>
    <w:rsid w:val="007C4C02"/>
    <w:rsid w:val="007D0BB7"/>
    <w:rsid w:val="007D0F6A"/>
    <w:rsid w:val="007D62A7"/>
    <w:rsid w:val="007E2011"/>
    <w:rsid w:val="007E48D7"/>
    <w:rsid w:val="007F123C"/>
    <w:rsid w:val="007F7A1E"/>
    <w:rsid w:val="00805707"/>
    <w:rsid w:val="008059AA"/>
    <w:rsid w:val="008063B5"/>
    <w:rsid w:val="00814FF5"/>
    <w:rsid w:val="00817772"/>
    <w:rsid w:val="00826230"/>
    <w:rsid w:val="008308D6"/>
    <w:rsid w:val="00844C79"/>
    <w:rsid w:val="00853363"/>
    <w:rsid w:val="008645D8"/>
    <w:rsid w:val="00871436"/>
    <w:rsid w:val="00873161"/>
    <w:rsid w:val="0087666D"/>
    <w:rsid w:val="008844B0"/>
    <w:rsid w:val="008870AE"/>
    <w:rsid w:val="0088744C"/>
    <w:rsid w:val="00887816"/>
    <w:rsid w:val="008945CD"/>
    <w:rsid w:val="00894763"/>
    <w:rsid w:val="00896419"/>
    <w:rsid w:val="008A073E"/>
    <w:rsid w:val="008A37F4"/>
    <w:rsid w:val="008B2414"/>
    <w:rsid w:val="008B5D20"/>
    <w:rsid w:val="008B6688"/>
    <w:rsid w:val="008B7844"/>
    <w:rsid w:val="008D4F17"/>
    <w:rsid w:val="008E1A77"/>
    <w:rsid w:val="008E2D94"/>
    <w:rsid w:val="008E7904"/>
    <w:rsid w:val="008E7F21"/>
    <w:rsid w:val="008F23A2"/>
    <w:rsid w:val="008F3960"/>
    <w:rsid w:val="009017D7"/>
    <w:rsid w:val="00901917"/>
    <w:rsid w:val="00905203"/>
    <w:rsid w:val="00906DAE"/>
    <w:rsid w:val="00911B0F"/>
    <w:rsid w:val="00924263"/>
    <w:rsid w:val="009249EB"/>
    <w:rsid w:val="00961050"/>
    <w:rsid w:val="00970117"/>
    <w:rsid w:val="00981705"/>
    <w:rsid w:val="009902CD"/>
    <w:rsid w:val="00997F98"/>
    <w:rsid w:val="009B0885"/>
    <w:rsid w:val="009C46C0"/>
    <w:rsid w:val="009C6031"/>
    <w:rsid w:val="009D6D01"/>
    <w:rsid w:val="009D6DCC"/>
    <w:rsid w:val="009D74A5"/>
    <w:rsid w:val="009E024A"/>
    <w:rsid w:val="009E1B2D"/>
    <w:rsid w:val="009E78CD"/>
    <w:rsid w:val="00A021F8"/>
    <w:rsid w:val="00A03C7C"/>
    <w:rsid w:val="00A0758B"/>
    <w:rsid w:val="00A22C56"/>
    <w:rsid w:val="00A35E55"/>
    <w:rsid w:val="00A37C96"/>
    <w:rsid w:val="00A40A54"/>
    <w:rsid w:val="00A41D8F"/>
    <w:rsid w:val="00A55A7C"/>
    <w:rsid w:val="00A61BE2"/>
    <w:rsid w:val="00A71510"/>
    <w:rsid w:val="00A73899"/>
    <w:rsid w:val="00A86DFF"/>
    <w:rsid w:val="00A91DE3"/>
    <w:rsid w:val="00A9512A"/>
    <w:rsid w:val="00A975C2"/>
    <w:rsid w:val="00A97BFD"/>
    <w:rsid w:val="00AA0D51"/>
    <w:rsid w:val="00AA6646"/>
    <w:rsid w:val="00AC6DCF"/>
    <w:rsid w:val="00AE01E6"/>
    <w:rsid w:val="00AE0224"/>
    <w:rsid w:val="00B013B0"/>
    <w:rsid w:val="00B106B6"/>
    <w:rsid w:val="00B1608A"/>
    <w:rsid w:val="00B346F0"/>
    <w:rsid w:val="00B37C54"/>
    <w:rsid w:val="00B466B4"/>
    <w:rsid w:val="00B476E2"/>
    <w:rsid w:val="00B54551"/>
    <w:rsid w:val="00B56AB2"/>
    <w:rsid w:val="00B61BB3"/>
    <w:rsid w:val="00B62423"/>
    <w:rsid w:val="00B6259C"/>
    <w:rsid w:val="00B62DC2"/>
    <w:rsid w:val="00B6494C"/>
    <w:rsid w:val="00B64A14"/>
    <w:rsid w:val="00B66CCC"/>
    <w:rsid w:val="00B77EB1"/>
    <w:rsid w:val="00B830DF"/>
    <w:rsid w:val="00B8600D"/>
    <w:rsid w:val="00B87392"/>
    <w:rsid w:val="00BA0922"/>
    <w:rsid w:val="00BC2699"/>
    <w:rsid w:val="00BC4582"/>
    <w:rsid w:val="00BC7BE6"/>
    <w:rsid w:val="00BC7D07"/>
    <w:rsid w:val="00BD0E69"/>
    <w:rsid w:val="00BD5D74"/>
    <w:rsid w:val="00BE0D11"/>
    <w:rsid w:val="00BE1E87"/>
    <w:rsid w:val="00C03180"/>
    <w:rsid w:val="00C13DE1"/>
    <w:rsid w:val="00C2223F"/>
    <w:rsid w:val="00C23B75"/>
    <w:rsid w:val="00C308B3"/>
    <w:rsid w:val="00C3722E"/>
    <w:rsid w:val="00C6289D"/>
    <w:rsid w:val="00C7097D"/>
    <w:rsid w:val="00C70A10"/>
    <w:rsid w:val="00C70E97"/>
    <w:rsid w:val="00C7104C"/>
    <w:rsid w:val="00C774F3"/>
    <w:rsid w:val="00C8171B"/>
    <w:rsid w:val="00C87684"/>
    <w:rsid w:val="00C915BF"/>
    <w:rsid w:val="00C91E03"/>
    <w:rsid w:val="00C93F2F"/>
    <w:rsid w:val="00CB435D"/>
    <w:rsid w:val="00CC08EE"/>
    <w:rsid w:val="00CC3982"/>
    <w:rsid w:val="00CC58E4"/>
    <w:rsid w:val="00CD5257"/>
    <w:rsid w:val="00CD5329"/>
    <w:rsid w:val="00CD7BA9"/>
    <w:rsid w:val="00CF01F7"/>
    <w:rsid w:val="00CF1225"/>
    <w:rsid w:val="00CF70EE"/>
    <w:rsid w:val="00D0520E"/>
    <w:rsid w:val="00D121A1"/>
    <w:rsid w:val="00D14E89"/>
    <w:rsid w:val="00D22366"/>
    <w:rsid w:val="00D236E0"/>
    <w:rsid w:val="00D2669C"/>
    <w:rsid w:val="00D34AEE"/>
    <w:rsid w:val="00D42BFB"/>
    <w:rsid w:val="00D42C47"/>
    <w:rsid w:val="00D43996"/>
    <w:rsid w:val="00D464A9"/>
    <w:rsid w:val="00D5001D"/>
    <w:rsid w:val="00D728FC"/>
    <w:rsid w:val="00D810A7"/>
    <w:rsid w:val="00D90794"/>
    <w:rsid w:val="00D9278E"/>
    <w:rsid w:val="00D95639"/>
    <w:rsid w:val="00D96D25"/>
    <w:rsid w:val="00DA1A3E"/>
    <w:rsid w:val="00DB360E"/>
    <w:rsid w:val="00DC2CCD"/>
    <w:rsid w:val="00DC2E77"/>
    <w:rsid w:val="00DC35FA"/>
    <w:rsid w:val="00DC39D5"/>
    <w:rsid w:val="00DC68BE"/>
    <w:rsid w:val="00DD2263"/>
    <w:rsid w:val="00DD2A61"/>
    <w:rsid w:val="00DD4287"/>
    <w:rsid w:val="00DD5CBB"/>
    <w:rsid w:val="00DE178B"/>
    <w:rsid w:val="00DE3455"/>
    <w:rsid w:val="00DE34A6"/>
    <w:rsid w:val="00DE7ED3"/>
    <w:rsid w:val="00DF107F"/>
    <w:rsid w:val="00E03BAA"/>
    <w:rsid w:val="00E03F0E"/>
    <w:rsid w:val="00E12EFF"/>
    <w:rsid w:val="00E17F15"/>
    <w:rsid w:val="00E257C2"/>
    <w:rsid w:val="00E26F34"/>
    <w:rsid w:val="00E356B9"/>
    <w:rsid w:val="00E46DD4"/>
    <w:rsid w:val="00E52582"/>
    <w:rsid w:val="00E55FDA"/>
    <w:rsid w:val="00E56EB8"/>
    <w:rsid w:val="00E6178A"/>
    <w:rsid w:val="00E76CFB"/>
    <w:rsid w:val="00E81941"/>
    <w:rsid w:val="00E821E6"/>
    <w:rsid w:val="00E84631"/>
    <w:rsid w:val="00E87F4F"/>
    <w:rsid w:val="00E91D01"/>
    <w:rsid w:val="00EA5C30"/>
    <w:rsid w:val="00EB4156"/>
    <w:rsid w:val="00ED7821"/>
    <w:rsid w:val="00EE148E"/>
    <w:rsid w:val="00EF12DE"/>
    <w:rsid w:val="00F02CCA"/>
    <w:rsid w:val="00F14011"/>
    <w:rsid w:val="00F17840"/>
    <w:rsid w:val="00F24E15"/>
    <w:rsid w:val="00F308D2"/>
    <w:rsid w:val="00F33325"/>
    <w:rsid w:val="00F36D5C"/>
    <w:rsid w:val="00F37738"/>
    <w:rsid w:val="00F46092"/>
    <w:rsid w:val="00F51A2A"/>
    <w:rsid w:val="00F52CE0"/>
    <w:rsid w:val="00F53DCE"/>
    <w:rsid w:val="00F55D7E"/>
    <w:rsid w:val="00F64D86"/>
    <w:rsid w:val="00F737AA"/>
    <w:rsid w:val="00F8422D"/>
    <w:rsid w:val="00F93578"/>
    <w:rsid w:val="00F957CE"/>
    <w:rsid w:val="00F97C00"/>
    <w:rsid w:val="00FA39F3"/>
    <w:rsid w:val="00FA6452"/>
    <w:rsid w:val="00FB164A"/>
    <w:rsid w:val="00FB7DDD"/>
    <w:rsid w:val="00FC0F30"/>
    <w:rsid w:val="00FC1D31"/>
    <w:rsid w:val="00FD3669"/>
    <w:rsid w:val="00FD3C80"/>
    <w:rsid w:val="00FD4F4B"/>
    <w:rsid w:val="00FD58DD"/>
    <w:rsid w:val="00FD5BE2"/>
    <w:rsid w:val="00FD74F8"/>
    <w:rsid w:val="00FE54FA"/>
    <w:rsid w:val="00FE6688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82504-5C84-482F-BC5F-90A1997E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.wikipedia.org/wiki/Obszar_zabudowa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Jednostka_osadnic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5369-5824-400A-A0E5-1E7A4C6F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2107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Krzysiek Grabiński</cp:lastModifiedBy>
  <cp:revision>16</cp:revision>
  <cp:lastPrinted>2014-02-21T09:23:00Z</cp:lastPrinted>
  <dcterms:created xsi:type="dcterms:W3CDTF">2015-12-18T09:46:00Z</dcterms:created>
  <dcterms:modified xsi:type="dcterms:W3CDTF">2015-12-18T13:45:00Z</dcterms:modified>
</cp:coreProperties>
</file>